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附件</w:t>
      </w:r>
      <w:r>
        <w:rPr>
          <w:rFonts w:hint="eastAsia" w:ascii="仿宋" w:hAnsi="仿宋" w:eastAsia="仿宋" w:cs="仿宋"/>
          <w:kern w:val="0"/>
          <w:sz w:val="24"/>
          <w:szCs w:val="24"/>
          <w:lang w:val="en-US" w:eastAsia="zh-CN"/>
        </w:rPr>
        <w:t>2</w:t>
      </w:r>
    </w:p>
    <w:p>
      <w:pPr>
        <w:widowControl/>
        <w:spacing w:line="560" w:lineRule="exact"/>
        <w:jc w:val="center"/>
        <w:rPr>
          <w:rFonts w:ascii="方正小标宋简体" w:hAnsi="宋体" w:eastAsia="方正小标宋简体" w:cs="Times New Roman"/>
          <w:kern w:val="0"/>
          <w:sz w:val="44"/>
          <w:szCs w:val="44"/>
        </w:rPr>
      </w:pPr>
      <w:r>
        <w:rPr>
          <w:rFonts w:hint="eastAsia" w:ascii="方正小标宋简体" w:hAnsi="宋体" w:eastAsia="方正小标宋简体" w:cs="Times New Roman"/>
          <w:kern w:val="0"/>
          <w:sz w:val="44"/>
          <w:szCs w:val="44"/>
        </w:rPr>
        <w:t>关于印发滁州市公共资源进场交易目录（202</w:t>
      </w:r>
      <w:r>
        <w:rPr>
          <w:rFonts w:hint="eastAsia" w:ascii="方正小标宋简体" w:hAnsi="宋体" w:eastAsia="方正小标宋简体" w:cs="Times New Roman"/>
          <w:kern w:val="0"/>
          <w:sz w:val="44"/>
          <w:szCs w:val="44"/>
          <w:lang w:val="en-US" w:eastAsia="zh-CN"/>
        </w:rPr>
        <w:t>4</w:t>
      </w:r>
      <w:r>
        <w:rPr>
          <w:rFonts w:hint="eastAsia" w:ascii="方正小标宋简体" w:hAnsi="宋体" w:eastAsia="方正小标宋简体" w:cs="Times New Roman"/>
          <w:kern w:val="0"/>
          <w:sz w:val="44"/>
          <w:szCs w:val="44"/>
        </w:rPr>
        <w:t>年版）的通知（</w:t>
      </w:r>
      <w:r>
        <w:rPr>
          <w:rFonts w:hint="eastAsia" w:ascii="方正小标宋简体" w:hAnsi="宋体" w:eastAsia="方正小标宋简体" w:cs="Times New Roman"/>
          <w:kern w:val="0"/>
          <w:sz w:val="44"/>
          <w:szCs w:val="44"/>
          <w:lang w:eastAsia="zh-CN"/>
        </w:rPr>
        <w:t>征求意见稿</w:t>
      </w:r>
      <w:r>
        <w:rPr>
          <w:rFonts w:hint="eastAsia" w:ascii="方正小标宋简体" w:hAnsi="宋体" w:eastAsia="方正小标宋简体" w:cs="Times New Roman"/>
          <w:kern w:val="0"/>
          <w:sz w:val="44"/>
          <w:szCs w:val="44"/>
        </w:rPr>
        <w:t>）</w:t>
      </w:r>
    </w:p>
    <w:p>
      <w:pPr>
        <w:widowControl/>
        <w:spacing w:line="560" w:lineRule="exact"/>
        <w:jc w:val="center"/>
        <w:rPr>
          <w:rFonts w:ascii="方正小标宋简体" w:hAnsi="宋体" w:eastAsia="方正小标宋简体" w:cs="Times New Roman"/>
          <w:kern w:val="0"/>
          <w:sz w:val="44"/>
          <w:szCs w:val="44"/>
        </w:rPr>
      </w:pPr>
    </w:p>
    <w:p>
      <w:pPr>
        <w:widowControl/>
        <w:spacing w:line="560" w:lineRule="exac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各县、市、区人民政府，市政府各部门、各直属机构：</w:t>
      </w:r>
    </w:p>
    <w:p>
      <w:pPr>
        <w:spacing w:line="560" w:lineRule="exact"/>
        <w:ind w:firstLine="800" w:firstLineChars="250"/>
        <w:rPr>
          <w:rFonts w:hint="eastAsia" w:ascii="仿宋_GB2312" w:hAnsi="宋体" w:eastAsia="仿宋_GB2312"/>
          <w:sz w:val="32"/>
          <w:szCs w:val="32"/>
          <w:lang w:eastAsia="zh-CN"/>
        </w:rPr>
      </w:pPr>
      <w:r>
        <w:rPr>
          <w:rFonts w:hint="eastAsia" w:ascii="仿宋_GB2312" w:hAnsi="仿宋" w:eastAsia="仿宋_GB2312"/>
          <w:sz w:val="32"/>
          <w:szCs w:val="32"/>
        </w:rPr>
        <w:t>根据《中华人民共和国招标投标法》《中华人民共和国政府采购法》</w:t>
      </w:r>
      <w:r>
        <w:rPr>
          <w:rFonts w:hint="eastAsia" w:ascii="仿宋_GB2312" w:hAnsi="宋体" w:eastAsia="仿宋_GB2312"/>
          <w:color w:val="auto"/>
          <w:sz w:val="32"/>
          <w:szCs w:val="32"/>
        </w:rPr>
        <w:t>《滁州市公共资源交易监督管理办法》等</w:t>
      </w:r>
      <w:r>
        <w:rPr>
          <w:rFonts w:hint="eastAsia" w:ascii="仿宋_GB2312" w:hAnsi="宋体" w:eastAsia="仿宋_GB2312"/>
          <w:color w:val="auto"/>
          <w:sz w:val="32"/>
          <w:szCs w:val="32"/>
          <w:lang w:eastAsia="zh-CN"/>
        </w:rPr>
        <w:t>有关要求</w:t>
      </w:r>
      <w:r>
        <w:rPr>
          <w:rFonts w:hint="eastAsia" w:ascii="仿宋_GB2312" w:hAnsi="宋体" w:eastAsia="仿宋_GB2312"/>
          <w:sz w:val="32"/>
          <w:szCs w:val="32"/>
        </w:rPr>
        <w:t>，经市政府同意，现将《滁州市公共资源进场交易目录（202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年版）》（以下简称《目录》）印发给你们，并就有关事项通知如下</w:t>
      </w:r>
      <w:r>
        <w:rPr>
          <w:rFonts w:hint="eastAsia" w:ascii="仿宋_GB2312" w:hAnsi="宋体" w:eastAsia="仿宋_GB2312"/>
          <w:sz w:val="32"/>
          <w:szCs w:val="32"/>
          <w:lang w:eastAsia="zh-CN"/>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一、本《目录》范围内的公共资源交易项目，达到进场限额标准的，应当按照项目属地原则进入滁州市（县）公共资源交易平台交易。法律法规和政策另有规定的，从其规定。</w:t>
      </w:r>
    </w:p>
    <w:p>
      <w:pPr>
        <w:widowControl/>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二、工程建设项目</w:t>
      </w:r>
      <w:r>
        <w:rPr>
          <w:rFonts w:hint="eastAsia" w:ascii="仿宋_GB2312" w:hAnsi="宋体" w:eastAsia="仿宋_GB2312"/>
          <w:sz w:val="32"/>
          <w:szCs w:val="32"/>
          <w:lang w:eastAsia="zh-CN"/>
        </w:rPr>
        <w:t>进场招标限额按《必须招标的工程项目规定》《必须招标的基础设施和公用事业项目范围规定》执行。</w:t>
      </w:r>
    </w:p>
    <w:p>
      <w:pPr>
        <w:widowControl/>
        <w:spacing w:line="560" w:lineRule="exact"/>
        <w:ind w:firstLine="640" w:firstLineChars="200"/>
        <w:rPr>
          <w:rFonts w:hint="eastAsia" w:ascii="仿宋_GB2312" w:hAnsi="宋体" w:eastAsia="仿宋_GB2312" w:cs="Times New Roman"/>
          <w:kern w:val="0"/>
          <w:sz w:val="32"/>
          <w:szCs w:val="32"/>
          <w:lang w:eastAsia="zh-CN"/>
        </w:rPr>
      </w:pPr>
      <w:r>
        <w:rPr>
          <w:rFonts w:hint="eastAsia" w:ascii="仿宋_GB2312" w:hAnsi="宋体" w:eastAsia="仿宋_GB2312" w:cs="Times New Roman"/>
          <w:kern w:val="0"/>
          <w:sz w:val="32"/>
          <w:szCs w:val="32"/>
        </w:rPr>
        <w:t>三、政府采购项目</w:t>
      </w:r>
      <w:r>
        <w:rPr>
          <w:rFonts w:hint="eastAsia" w:ascii="仿宋_GB2312" w:hAnsi="宋体" w:eastAsia="仿宋_GB2312" w:cs="Times New Roman"/>
          <w:kern w:val="0"/>
          <w:sz w:val="32"/>
          <w:szCs w:val="32"/>
          <w:lang w:eastAsia="zh-CN"/>
        </w:rPr>
        <w:t>进场限额按当年安徽省政府集中采购目录及限额标准执行。经定密机关或保密行政管理部门认定的涉密政府采购项目，按照《财政部国家保密局关于印发〈涉密政府采购管理暂行办法〉的通知》等相关规定执行。</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lang w:eastAsia="zh-CN"/>
        </w:rPr>
        <w:t>四</w:t>
      </w:r>
      <w:r>
        <w:rPr>
          <w:rFonts w:hint="eastAsia" w:ascii="仿宋_GB2312" w:hAnsi="宋体" w:eastAsia="仿宋_GB2312"/>
          <w:sz w:val="32"/>
          <w:szCs w:val="32"/>
        </w:rPr>
        <w:t>、列入本《目录》的项目，由各行业主管部门督促项目单位进场交易。</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凡列入本《目录》的各类公共资源项目未进场交易的，或者将项目化整为零以及采取其他方式规避进场交易的，</w:t>
      </w:r>
      <w:r>
        <w:rPr>
          <w:rFonts w:hint="eastAsia" w:ascii="仿宋_GB2312" w:hAnsi="宋体" w:eastAsia="仿宋_GB2312"/>
          <w:sz w:val="32"/>
          <w:szCs w:val="32"/>
          <w:lang w:eastAsia="zh-CN"/>
        </w:rPr>
        <w:t>公共资源交易监督管理部门</w:t>
      </w:r>
      <w:r>
        <w:rPr>
          <w:rFonts w:hint="eastAsia" w:ascii="仿宋_GB2312" w:hAnsi="宋体" w:eastAsia="仿宋_GB2312"/>
          <w:sz w:val="32"/>
          <w:szCs w:val="32"/>
        </w:rPr>
        <w:t>将依法予以处理。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lang w:eastAsia="zh-CN"/>
        </w:rPr>
        <w:t>五</w:t>
      </w:r>
      <w:r>
        <w:rPr>
          <w:rFonts w:hint="eastAsia" w:ascii="仿宋_GB2312" w:hAnsi="宋体" w:eastAsia="仿宋_GB2312"/>
          <w:sz w:val="32"/>
          <w:szCs w:val="32"/>
        </w:rPr>
        <w:t>、本通知“达到”包含本数，“未达到”不包含本数。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lang w:eastAsia="zh-CN"/>
        </w:rPr>
        <w:t>六</w:t>
      </w:r>
      <w:r>
        <w:rPr>
          <w:rFonts w:hint="eastAsia" w:ascii="仿宋_GB2312" w:hAnsi="宋体" w:eastAsia="仿宋_GB2312"/>
          <w:sz w:val="32"/>
          <w:szCs w:val="32"/>
        </w:rPr>
        <w:t>、本通知自</w:t>
      </w:r>
      <w:r>
        <w:rPr>
          <w:rFonts w:hint="eastAsia" w:ascii="仿宋_GB2312" w:hAnsi="宋体" w:eastAsia="仿宋_GB2312"/>
          <w:sz w:val="32"/>
          <w:szCs w:val="32"/>
          <w:lang w:eastAsia="zh-CN"/>
        </w:rPr>
        <w:t>印发之日</w:t>
      </w:r>
      <w:r>
        <w:rPr>
          <w:rFonts w:hint="eastAsia" w:ascii="仿宋_GB2312" w:hAnsi="宋体" w:eastAsia="仿宋_GB2312"/>
          <w:sz w:val="32"/>
          <w:szCs w:val="32"/>
        </w:rPr>
        <w:t>起执行。</w:t>
      </w:r>
      <w:r>
        <w:rPr>
          <w:rFonts w:hint="eastAsia" w:ascii="仿宋_GB2312" w:hAnsi="宋体" w:eastAsia="仿宋_GB2312"/>
          <w:sz w:val="32"/>
          <w:szCs w:val="32"/>
          <w:lang w:val="en-US" w:eastAsia="zh-CN"/>
        </w:rPr>
        <w:t>2020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9</w:t>
      </w:r>
      <w:r>
        <w:rPr>
          <w:rFonts w:hint="eastAsia" w:ascii="仿宋_GB2312" w:hAnsi="宋体" w:eastAsia="仿宋_GB2312"/>
          <w:sz w:val="32"/>
          <w:szCs w:val="32"/>
        </w:rPr>
        <w:t>日印发的《滁州市公共资源进场交易目录</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2020年版</w:t>
      </w:r>
      <w:r>
        <w:rPr>
          <w:rFonts w:hint="eastAsia" w:ascii="仿宋_GB2312" w:hAnsi="宋体" w:eastAsia="仿宋_GB2312"/>
          <w:sz w:val="32"/>
          <w:szCs w:val="32"/>
          <w:lang w:eastAsia="zh-CN"/>
        </w:rPr>
        <w:t>）</w:t>
      </w:r>
      <w:r>
        <w:rPr>
          <w:rFonts w:hint="eastAsia" w:ascii="仿宋_GB2312" w:hAnsi="宋体" w:eastAsia="仿宋_GB2312"/>
          <w:sz w:val="32"/>
          <w:szCs w:val="32"/>
        </w:rPr>
        <w:t>》（滁政办秘〔20</w:t>
      </w:r>
      <w:r>
        <w:rPr>
          <w:rFonts w:hint="eastAsia" w:ascii="仿宋_GB2312" w:hAnsi="宋体" w:eastAsia="仿宋_GB2312"/>
          <w:sz w:val="32"/>
          <w:szCs w:val="32"/>
          <w:lang w:val="en-US" w:eastAsia="zh-CN"/>
        </w:rPr>
        <w:t>20</w:t>
      </w:r>
      <w:r>
        <w:rPr>
          <w:rFonts w:hint="eastAsia" w:ascii="仿宋_GB2312" w:hAnsi="宋体" w:eastAsia="仿宋_GB2312"/>
          <w:sz w:val="32"/>
          <w:szCs w:val="32"/>
        </w:rPr>
        <w:t>〕</w:t>
      </w:r>
      <w:r>
        <w:rPr>
          <w:rFonts w:hint="eastAsia" w:ascii="仿宋_GB2312" w:hAnsi="宋体" w:eastAsia="仿宋_GB2312"/>
          <w:sz w:val="32"/>
          <w:szCs w:val="32"/>
          <w:lang w:val="en-US" w:eastAsia="zh-CN"/>
        </w:rPr>
        <w:t>42</w:t>
      </w:r>
      <w:r>
        <w:rPr>
          <w:rFonts w:hint="eastAsia" w:ascii="仿宋_GB2312" w:hAnsi="宋体" w:eastAsia="仿宋_GB2312"/>
          <w:sz w:val="32"/>
          <w:szCs w:val="32"/>
        </w:rPr>
        <w:t>号）同时废止。</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lang w:eastAsia="zh-CN"/>
        </w:rPr>
        <w:t>七</w:t>
      </w:r>
      <w:r>
        <w:rPr>
          <w:rFonts w:hint="eastAsia" w:ascii="仿宋_GB2312" w:hAnsi="宋体" w:eastAsia="仿宋_GB2312"/>
          <w:sz w:val="32"/>
          <w:szCs w:val="32"/>
        </w:rPr>
        <w:t>、各县（市、区）遵照执行。</w:t>
      </w:r>
    </w:p>
    <w:p>
      <w:pPr>
        <w:widowControl/>
        <w:spacing w:line="560" w:lineRule="exact"/>
        <w:rPr>
          <w:rFonts w:ascii="仿宋_GB2312" w:hAnsi="宋体" w:eastAsia="仿宋_GB2312" w:cs="Times New Roman"/>
          <w:kern w:val="0"/>
          <w:sz w:val="32"/>
          <w:szCs w:val="32"/>
        </w:rPr>
      </w:pPr>
    </w:p>
    <w:p>
      <w:pPr>
        <w:widowControl/>
        <w:spacing w:line="560" w:lineRule="exact"/>
        <w:rPr>
          <w:rFonts w:ascii="仿宋_GB2312" w:hAnsi="宋体" w:eastAsia="仿宋_GB2312" w:cs="Times New Roman"/>
          <w:kern w:val="0"/>
          <w:sz w:val="32"/>
          <w:szCs w:val="32"/>
        </w:rPr>
      </w:pPr>
    </w:p>
    <w:p>
      <w:pPr>
        <w:widowControl/>
        <w:spacing w:line="560" w:lineRule="exact"/>
        <w:ind w:firstLine="5440" w:firstLineChars="17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年  月  日</w:t>
      </w:r>
    </w:p>
    <w:p>
      <w:pPr>
        <w:widowControl/>
        <w:spacing w:line="700" w:lineRule="atLeast"/>
        <w:rPr>
          <w:rFonts w:ascii="方正小标宋简体" w:hAnsi="Times New Roman" w:eastAsia="方正小标宋简体" w:cs="Times New Roman"/>
          <w:kern w:val="0"/>
          <w:sz w:val="44"/>
          <w:szCs w:val="44"/>
        </w:rPr>
      </w:pPr>
    </w:p>
    <w:p>
      <w:pPr>
        <w:widowControl/>
        <w:spacing w:line="700" w:lineRule="atLeast"/>
        <w:rPr>
          <w:rFonts w:ascii="方正小标宋简体" w:hAnsi="Times New Roman" w:eastAsia="方正小标宋简体" w:cs="Times New Roman"/>
          <w:kern w:val="0"/>
          <w:sz w:val="44"/>
          <w:szCs w:val="44"/>
        </w:rPr>
      </w:pPr>
    </w:p>
    <w:p>
      <w:pPr>
        <w:widowControl/>
        <w:spacing w:line="700" w:lineRule="atLeast"/>
        <w:rPr>
          <w:rFonts w:ascii="方正小标宋简体" w:hAnsi="Times New Roman" w:eastAsia="方正小标宋简体" w:cs="Times New Roman"/>
          <w:kern w:val="0"/>
          <w:sz w:val="44"/>
          <w:szCs w:val="44"/>
        </w:rPr>
      </w:pPr>
    </w:p>
    <w:p>
      <w:pPr>
        <w:widowControl/>
        <w:spacing w:line="700" w:lineRule="atLeast"/>
        <w:rPr>
          <w:rFonts w:ascii="方正小标宋简体" w:hAnsi="Times New Roman" w:eastAsia="方正小标宋简体" w:cs="Times New Roman"/>
          <w:kern w:val="0"/>
          <w:sz w:val="44"/>
          <w:szCs w:val="44"/>
        </w:rPr>
      </w:pPr>
    </w:p>
    <w:p>
      <w:pPr>
        <w:widowControl/>
        <w:spacing w:line="700" w:lineRule="atLeast"/>
        <w:rPr>
          <w:rFonts w:ascii="方正小标宋简体" w:hAnsi="Times New Roman" w:eastAsia="方正小标宋简体" w:cs="Times New Roman"/>
          <w:kern w:val="0"/>
          <w:sz w:val="44"/>
          <w:szCs w:val="44"/>
        </w:rPr>
      </w:pPr>
    </w:p>
    <w:p>
      <w:pPr>
        <w:widowControl/>
        <w:spacing w:line="700" w:lineRule="atLeast"/>
        <w:rPr>
          <w:rFonts w:ascii="方正小标宋简体" w:hAnsi="Times New Roman" w:eastAsia="方正小标宋简体" w:cs="Times New Roman"/>
          <w:kern w:val="0"/>
          <w:sz w:val="44"/>
          <w:szCs w:val="44"/>
        </w:rPr>
      </w:pPr>
    </w:p>
    <w:p>
      <w:pPr>
        <w:widowControl/>
        <w:spacing w:line="700" w:lineRule="atLeast"/>
        <w:rPr>
          <w:rFonts w:ascii="方正小标宋简体" w:hAnsi="Times New Roman" w:eastAsia="方正小标宋简体" w:cs="Times New Roman"/>
          <w:kern w:val="0"/>
          <w:sz w:val="44"/>
          <w:szCs w:val="44"/>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widowControl/>
        <w:spacing w:line="700" w:lineRule="atLeas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滁州市公共资源进场交易目录（202</w:t>
      </w:r>
      <w:r>
        <w:rPr>
          <w:rFonts w:hint="eastAsia" w:ascii="方正小标宋简体" w:hAnsi="Times New Roman" w:eastAsia="方正小标宋简体" w:cs="Times New Roman"/>
          <w:kern w:val="0"/>
          <w:sz w:val="44"/>
          <w:szCs w:val="44"/>
          <w:lang w:val="en-US" w:eastAsia="zh-CN"/>
        </w:rPr>
        <w:t>4</w:t>
      </w:r>
      <w:r>
        <w:rPr>
          <w:rFonts w:hint="eastAsia" w:ascii="方正小标宋简体" w:hAnsi="Times New Roman" w:eastAsia="方正小标宋简体" w:cs="Times New Roman"/>
          <w:kern w:val="0"/>
          <w:sz w:val="44"/>
          <w:szCs w:val="44"/>
        </w:rPr>
        <w:t>年版）</w:t>
      </w:r>
    </w:p>
    <w:tbl>
      <w:tblPr>
        <w:tblStyle w:val="3"/>
        <w:tblW w:w="499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0"/>
        <w:gridCol w:w="1068"/>
        <w:gridCol w:w="2876"/>
        <w:gridCol w:w="1421"/>
        <w:gridCol w:w="2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311" w:type="pct"/>
            <w:tcBorders>
              <w:tl2br w:val="nil"/>
              <w:tr2bl w:val="nil"/>
            </w:tcBorders>
            <w:noWrap w:val="0"/>
            <w:vAlign w:val="center"/>
          </w:tcPr>
          <w:p>
            <w:pPr>
              <w:widowControl/>
              <w:jc w:val="center"/>
              <w:rPr>
                <w:rFonts w:ascii="黑体" w:hAnsi="黑体" w:eastAsia="黑体" w:cs="Times New Roman"/>
                <w:kern w:val="0"/>
                <w:sz w:val="24"/>
                <w:szCs w:val="24"/>
              </w:rPr>
            </w:pPr>
            <w:r>
              <w:rPr>
                <w:rFonts w:hint="eastAsia" w:ascii="黑体" w:hAnsi="黑体" w:eastAsia="黑体" w:cs="Times New Roman"/>
                <w:kern w:val="0"/>
                <w:sz w:val="24"/>
                <w:szCs w:val="24"/>
              </w:rPr>
              <w:t>序号</w:t>
            </w:r>
          </w:p>
        </w:tc>
        <w:tc>
          <w:tcPr>
            <w:tcW w:w="627" w:type="pct"/>
            <w:tcBorders>
              <w:tl2br w:val="nil"/>
              <w:tr2bl w:val="nil"/>
            </w:tcBorders>
            <w:noWrap w:val="0"/>
            <w:vAlign w:val="center"/>
          </w:tcPr>
          <w:p>
            <w:pPr>
              <w:widowControl/>
              <w:jc w:val="center"/>
              <w:rPr>
                <w:rFonts w:ascii="黑体" w:hAnsi="黑体" w:eastAsia="黑体" w:cs="Times New Roman"/>
                <w:kern w:val="0"/>
                <w:sz w:val="24"/>
                <w:szCs w:val="24"/>
              </w:rPr>
            </w:pPr>
            <w:r>
              <w:rPr>
                <w:rFonts w:hint="eastAsia" w:ascii="黑体" w:hAnsi="黑体" w:eastAsia="黑体" w:cs="Times New Roman"/>
                <w:kern w:val="0"/>
                <w:sz w:val="24"/>
                <w:szCs w:val="24"/>
              </w:rPr>
              <w:t>项目类别</w:t>
            </w:r>
          </w:p>
        </w:tc>
        <w:tc>
          <w:tcPr>
            <w:tcW w:w="1688" w:type="pct"/>
            <w:tcBorders>
              <w:tl2br w:val="nil"/>
              <w:tr2bl w:val="nil"/>
            </w:tcBorders>
            <w:noWrap w:val="0"/>
            <w:vAlign w:val="center"/>
          </w:tcPr>
          <w:p>
            <w:pPr>
              <w:widowControl/>
              <w:jc w:val="center"/>
              <w:rPr>
                <w:rFonts w:ascii="黑体" w:hAnsi="黑体" w:eastAsia="黑体" w:cs="Times New Roman"/>
                <w:kern w:val="0"/>
                <w:sz w:val="24"/>
                <w:szCs w:val="24"/>
              </w:rPr>
            </w:pPr>
            <w:r>
              <w:rPr>
                <w:rFonts w:hint="eastAsia" w:ascii="黑体" w:hAnsi="黑体" w:eastAsia="黑体" w:cs="Times New Roman"/>
                <w:kern w:val="0"/>
                <w:sz w:val="24"/>
                <w:szCs w:val="24"/>
              </w:rPr>
              <w:t>项目内容</w:t>
            </w:r>
          </w:p>
        </w:tc>
        <w:tc>
          <w:tcPr>
            <w:tcW w:w="834" w:type="pct"/>
            <w:tcBorders>
              <w:tl2br w:val="nil"/>
              <w:tr2bl w:val="nil"/>
            </w:tcBorders>
            <w:noWrap w:val="0"/>
            <w:vAlign w:val="center"/>
          </w:tcPr>
          <w:p>
            <w:pPr>
              <w:widowControl/>
              <w:jc w:val="center"/>
              <w:rPr>
                <w:rFonts w:hint="eastAsia" w:ascii="黑体" w:hAnsi="黑体" w:eastAsia="黑体" w:cs="Times New Roman"/>
                <w:kern w:val="0"/>
                <w:sz w:val="24"/>
                <w:szCs w:val="24"/>
                <w:lang w:eastAsia="zh-CN"/>
              </w:rPr>
            </w:pPr>
            <w:r>
              <w:rPr>
                <w:rFonts w:hint="eastAsia" w:ascii="黑体" w:hAnsi="黑体" w:eastAsia="黑体" w:cs="Times New Roman"/>
                <w:kern w:val="0"/>
                <w:sz w:val="24"/>
                <w:szCs w:val="24"/>
                <w:lang w:eastAsia="zh-CN"/>
              </w:rPr>
              <w:t>交易监管部门</w:t>
            </w:r>
          </w:p>
        </w:tc>
        <w:tc>
          <w:tcPr>
            <w:tcW w:w="1538" w:type="pct"/>
            <w:tcBorders>
              <w:tl2br w:val="nil"/>
              <w:tr2bl w:val="nil"/>
            </w:tcBorders>
            <w:noWrap w:val="0"/>
            <w:vAlign w:val="center"/>
          </w:tcPr>
          <w:p>
            <w:pPr>
              <w:widowControl/>
              <w:jc w:val="center"/>
              <w:rPr>
                <w:rFonts w:ascii="黑体" w:hAnsi="黑体" w:eastAsia="黑体" w:cs="Times New Roman"/>
                <w:kern w:val="0"/>
                <w:sz w:val="24"/>
                <w:szCs w:val="24"/>
              </w:rPr>
            </w:pPr>
            <w:r>
              <w:rPr>
                <w:rFonts w:hint="eastAsia" w:ascii="黑体" w:hAnsi="黑体" w:eastAsia="黑体" w:cs="Times New Roman"/>
                <w:kern w:val="0"/>
                <w:sz w:val="24"/>
                <w:szCs w:val="24"/>
              </w:rPr>
              <w:t>进场限额标准及范围说明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9" w:hRule="atLeast"/>
        </w:trPr>
        <w:tc>
          <w:tcPr>
            <w:tcW w:w="311" w:type="pct"/>
            <w:tcBorders>
              <w:tl2br w:val="nil"/>
              <w:tr2bl w:val="nil"/>
            </w:tcBorders>
            <w:noWrap w:val="0"/>
            <w:vAlign w:val="center"/>
          </w:tcPr>
          <w:p>
            <w:pPr>
              <w:widowControl/>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w:t>
            </w:r>
          </w:p>
        </w:tc>
        <w:tc>
          <w:tcPr>
            <w:tcW w:w="627" w:type="pc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工程建设</w:t>
            </w:r>
          </w:p>
        </w:tc>
        <w:tc>
          <w:tcPr>
            <w:tcW w:w="1688" w:type="pc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国有投资依法必须招标的各类新建、改建、扩建等建设工程项目</w:t>
            </w:r>
          </w:p>
        </w:tc>
        <w:tc>
          <w:tcPr>
            <w:tcW w:w="834" w:type="pct"/>
            <w:tcBorders>
              <w:tl2br w:val="nil"/>
              <w:tr2bl w:val="nil"/>
            </w:tcBorders>
            <w:noWrap w:val="0"/>
            <w:vAlign w:val="center"/>
          </w:tcPr>
          <w:p>
            <w:pPr>
              <w:widowControl/>
              <w:numPr>
                <w:ilvl w:val="0"/>
                <w:numId w:val="0"/>
              </w:numPr>
              <w:jc w:val="center"/>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公共资源交易监督管理部门</w:t>
            </w:r>
          </w:p>
        </w:tc>
        <w:tc>
          <w:tcPr>
            <w:tcW w:w="1538" w:type="pc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执行《必须招标的工程项目规定》（发改委16号令）。</w:t>
            </w:r>
          </w:p>
          <w:p>
            <w:pPr>
              <w:widowControl/>
              <w:numPr>
                <w:ilvl w:val="0"/>
                <w:numId w:val="1"/>
              </w:numPr>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施工单项合同估算价在 400万元人民币以上；</w:t>
            </w:r>
          </w:p>
          <w:p>
            <w:pPr>
              <w:widowControl/>
              <w:numPr>
                <w:ilvl w:val="0"/>
                <w:numId w:val="1"/>
              </w:numPr>
              <w:ind w:left="0" w:leftChars="0" w:firstLine="0" w:firstLineChars="0"/>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重要设备、材料等货物的采购，单项合同估算价在 200 万元人民币以上；</w:t>
            </w:r>
          </w:p>
          <w:p>
            <w:pPr>
              <w:widowControl/>
              <w:numPr>
                <w:ilvl w:val="0"/>
                <w:numId w:val="1"/>
              </w:numPr>
              <w:ind w:left="0" w:leftChars="0" w:firstLine="0" w:firstLineChars="0"/>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勘察、设计、监理等服务的采购，单项合同估算价在 100 万元人民币以上。</w:t>
            </w:r>
          </w:p>
          <w:p>
            <w:pPr>
              <w:widowControl/>
              <w:numPr>
                <w:ilvl w:val="0"/>
                <w:numId w:val="0"/>
              </w:numPr>
              <w:ind w:leftChars="0" w:firstLine="480" w:firstLineChars="200"/>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同一项目中可以合并进行的勘察、设计、施工、监理以及与工程建设有关的重要设备、材料等的采购，合同估算价合计达到前款规定标准的。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6" w:hRule="atLeast"/>
        </w:trPr>
        <w:tc>
          <w:tcPr>
            <w:tcW w:w="311" w:type="pct"/>
            <w:tcBorders>
              <w:tl2br w:val="nil"/>
              <w:tr2bl w:val="nil"/>
            </w:tcBorders>
            <w:noWrap w:val="0"/>
            <w:vAlign w:val="center"/>
          </w:tcPr>
          <w:p>
            <w:pPr>
              <w:widowControl/>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p>
        </w:tc>
        <w:tc>
          <w:tcPr>
            <w:tcW w:w="627" w:type="pc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政府采购</w:t>
            </w:r>
          </w:p>
        </w:tc>
        <w:tc>
          <w:tcPr>
            <w:tcW w:w="1688" w:type="pc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rPr>
              <w:t>政府</w:t>
            </w:r>
            <w:r>
              <w:rPr>
                <w:rFonts w:hint="eastAsia" w:ascii="仿宋_GB2312" w:hAnsi="仿宋" w:eastAsia="仿宋_GB2312" w:cs="Times New Roman"/>
                <w:kern w:val="0"/>
                <w:sz w:val="24"/>
                <w:szCs w:val="24"/>
                <w:lang w:eastAsia="zh-CN"/>
              </w:rPr>
              <w:t>采购工程、货物和服务</w:t>
            </w:r>
          </w:p>
        </w:tc>
        <w:tc>
          <w:tcPr>
            <w:tcW w:w="834" w:type="pc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财政部门、公共资源交易监督管理部门按职责分工负责</w:t>
            </w:r>
          </w:p>
        </w:tc>
        <w:tc>
          <w:tcPr>
            <w:tcW w:w="1538" w:type="pc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执行《安徽省政府集中采购目录及限额标准2022年版》。政府采购货物、服务项目进场限额标准为30万元；政府采购工程项目进场限额标准为60万元。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11" w:type="pct"/>
            <w:tcBorders>
              <w:tl2br w:val="nil"/>
              <w:tr2bl w:val="nil"/>
            </w:tcBorders>
            <w:noWrap w:val="0"/>
            <w:vAlign w:val="center"/>
          </w:tcPr>
          <w:p>
            <w:pPr>
              <w:widowControl/>
              <w:jc w:val="center"/>
              <w:rPr>
                <w:rFonts w:hint="eastAsia" w:ascii="仿宋_GB2312" w:hAnsi="仿宋" w:eastAsia="仿宋_GB2312" w:cs="Times New Roman"/>
                <w:color w:val="auto"/>
                <w:kern w:val="0"/>
                <w:sz w:val="24"/>
                <w:szCs w:val="24"/>
                <w:lang w:val="en-US" w:eastAsia="zh-CN"/>
              </w:rPr>
            </w:pPr>
            <w:r>
              <w:rPr>
                <w:rFonts w:hint="eastAsia" w:ascii="仿宋_GB2312" w:hAnsi="仿宋" w:eastAsia="仿宋_GB2312" w:cs="Times New Roman"/>
                <w:color w:val="auto"/>
                <w:kern w:val="0"/>
                <w:sz w:val="24"/>
                <w:szCs w:val="24"/>
                <w:lang w:val="en-US" w:eastAsia="zh-CN"/>
              </w:rPr>
              <w:t>3</w:t>
            </w:r>
          </w:p>
        </w:tc>
        <w:tc>
          <w:tcPr>
            <w:tcW w:w="627" w:type="pct"/>
            <w:tcBorders>
              <w:tl2br w:val="nil"/>
              <w:tr2bl w:val="nil"/>
            </w:tcBorders>
            <w:noWrap w:val="0"/>
            <w:vAlign w:val="center"/>
          </w:tcPr>
          <w:p>
            <w:pPr>
              <w:widowControl/>
              <w:rPr>
                <w:rFonts w:hint="eastAsia" w:ascii="仿宋_GB2312" w:hAnsi="仿宋" w:eastAsia="仿宋_GB2312" w:cs="Times New Roman"/>
                <w:color w:val="auto"/>
                <w:kern w:val="0"/>
                <w:sz w:val="24"/>
                <w:szCs w:val="24"/>
                <w:lang w:eastAsia="zh-CN"/>
              </w:rPr>
            </w:pPr>
            <w:r>
              <w:rPr>
                <w:rFonts w:hint="eastAsia" w:ascii="仿宋_GB2312" w:hAnsi="仿宋" w:eastAsia="仿宋_GB2312" w:cs="Times New Roman"/>
                <w:color w:val="auto"/>
                <w:kern w:val="0"/>
                <w:sz w:val="24"/>
                <w:szCs w:val="24"/>
                <w:lang w:eastAsia="zh-CN"/>
              </w:rPr>
              <w:t>国企采购</w:t>
            </w:r>
          </w:p>
        </w:tc>
        <w:tc>
          <w:tcPr>
            <w:tcW w:w="1688" w:type="pct"/>
            <w:tcBorders>
              <w:tl2br w:val="nil"/>
              <w:tr2bl w:val="nil"/>
            </w:tcBorders>
            <w:noWrap w:val="0"/>
            <w:vAlign w:val="center"/>
          </w:tcPr>
          <w:p>
            <w:pPr>
              <w:widowControl/>
              <w:rPr>
                <w:rFonts w:hint="eastAsia" w:ascii="仿宋_GB2312" w:hAnsi="仿宋" w:eastAsia="仿宋_GB2312" w:cs="Times New Roman"/>
                <w:color w:val="auto"/>
                <w:kern w:val="0"/>
                <w:sz w:val="24"/>
                <w:szCs w:val="24"/>
                <w:lang w:eastAsia="zh-CN"/>
              </w:rPr>
            </w:pPr>
            <w:r>
              <w:rPr>
                <w:rFonts w:hint="eastAsia" w:ascii="仿宋_GB2312" w:hAnsi="仿宋" w:eastAsia="仿宋_GB2312" w:cs="Times New Roman"/>
                <w:color w:val="auto"/>
                <w:kern w:val="0"/>
                <w:sz w:val="24"/>
                <w:szCs w:val="24"/>
                <w:lang w:eastAsia="zh-CN"/>
              </w:rPr>
              <w:t>国企为了实现政务活动和公共服务等目的，使用财政资金项目</w:t>
            </w:r>
          </w:p>
        </w:tc>
        <w:tc>
          <w:tcPr>
            <w:tcW w:w="834" w:type="pct"/>
            <w:tcBorders>
              <w:tl2br w:val="nil"/>
              <w:tr2bl w:val="nil"/>
            </w:tcBorders>
            <w:noWrap w:val="0"/>
            <w:vAlign w:val="center"/>
          </w:tcPr>
          <w:p>
            <w:pPr>
              <w:widowControl/>
              <w:ind w:firstLine="480" w:firstLineChars="200"/>
              <w:rPr>
                <w:rFonts w:hint="eastAsia" w:ascii="仿宋_GB2312" w:hAnsi="仿宋" w:eastAsia="仿宋_GB2312" w:cs="Times New Roman"/>
                <w:color w:val="auto"/>
                <w:kern w:val="0"/>
                <w:sz w:val="24"/>
                <w:szCs w:val="24"/>
              </w:rPr>
            </w:pPr>
            <w:r>
              <w:rPr>
                <w:rFonts w:hint="eastAsia" w:ascii="仿宋_GB2312" w:hAnsi="仿宋" w:eastAsia="仿宋_GB2312" w:cs="Times New Roman"/>
                <w:kern w:val="0"/>
                <w:sz w:val="24"/>
                <w:szCs w:val="24"/>
                <w:lang w:eastAsia="zh-CN"/>
              </w:rPr>
              <w:t>公共资源交易监督管理部门</w:t>
            </w:r>
          </w:p>
        </w:tc>
        <w:tc>
          <w:tcPr>
            <w:tcW w:w="1538" w:type="pct"/>
            <w:tcBorders>
              <w:tl2br w:val="nil"/>
              <w:tr2bl w:val="nil"/>
            </w:tcBorders>
            <w:noWrap w:val="0"/>
            <w:vAlign w:val="center"/>
          </w:tcPr>
          <w:p>
            <w:pPr>
              <w:widowControl/>
              <w:ind w:firstLine="480" w:firstLineChars="200"/>
              <w:rPr>
                <w:rFonts w:hint="eastAsia" w:ascii="仿宋_GB2312" w:hAnsi="仿宋" w:eastAsia="仿宋_GB2312" w:cs="Times New Roman"/>
                <w:color w:val="auto"/>
                <w:kern w:val="0"/>
                <w:sz w:val="24"/>
                <w:szCs w:val="24"/>
                <w:lang w:eastAsia="zh-CN"/>
              </w:rPr>
            </w:pPr>
            <w:r>
              <w:rPr>
                <w:rFonts w:hint="eastAsia" w:ascii="仿宋_GB2312" w:hAnsi="仿宋" w:eastAsia="仿宋_GB2312" w:cs="Times New Roman"/>
                <w:color w:val="auto"/>
                <w:kern w:val="0"/>
                <w:sz w:val="24"/>
                <w:szCs w:val="24"/>
                <w:lang w:eastAsia="zh-CN"/>
              </w:rPr>
              <w:t>采购金额达到60万元 （含）至400万元施工项目，30万元 （含）至100万元且与工程建设有关的勘察、设计、监理项目；金额达到30万元（含）以上的与工程建设无关货物和服务项目。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trPr>
        <w:tc>
          <w:tcPr>
            <w:tcW w:w="311" w:type="pct"/>
            <w:vMerge w:val="restart"/>
            <w:tcBorders>
              <w:tl2br w:val="nil"/>
              <w:tr2bl w:val="nil"/>
            </w:tcBorders>
            <w:noWrap w:val="0"/>
            <w:vAlign w:val="center"/>
          </w:tcPr>
          <w:p>
            <w:pPr>
              <w:widowControl/>
              <w:jc w:val="center"/>
              <w:rPr>
                <w:rFonts w:hint="eastAsia" w:ascii="仿宋_GB2312" w:hAnsi="仿宋" w:eastAsia="仿宋_GB2312" w:cs="Times New Roman"/>
                <w:color w:val="auto"/>
                <w:kern w:val="0"/>
                <w:sz w:val="24"/>
                <w:szCs w:val="24"/>
                <w:lang w:eastAsia="zh-CN"/>
              </w:rPr>
            </w:pPr>
            <w:r>
              <w:rPr>
                <w:rFonts w:hint="eastAsia" w:ascii="仿宋_GB2312" w:hAnsi="仿宋" w:eastAsia="仿宋_GB2312" w:cs="Times New Roman"/>
                <w:color w:val="auto"/>
                <w:kern w:val="0"/>
                <w:sz w:val="24"/>
                <w:szCs w:val="24"/>
                <w:lang w:val="en-US" w:eastAsia="zh-CN"/>
              </w:rPr>
              <w:t>4</w:t>
            </w:r>
          </w:p>
        </w:tc>
        <w:tc>
          <w:tcPr>
            <w:tcW w:w="627" w:type="pct"/>
            <w:vMerge w:val="restart"/>
            <w:tcBorders>
              <w:tl2br w:val="nil"/>
              <w:tr2bl w:val="nil"/>
            </w:tcBorders>
            <w:noWrap w:val="0"/>
            <w:vAlign w:val="center"/>
          </w:tcPr>
          <w:p>
            <w:pPr>
              <w:widowControl/>
              <w:rPr>
                <w:rFonts w:ascii="仿宋_GB2312" w:hAnsi="仿宋" w:eastAsia="仿宋_GB2312" w:cs="Times New Roman"/>
                <w:color w:val="auto"/>
                <w:kern w:val="0"/>
                <w:sz w:val="24"/>
                <w:szCs w:val="24"/>
              </w:rPr>
            </w:pPr>
            <w:r>
              <w:rPr>
                <w:rFonts w:hint="eastAsia" w:ascii="仿宋_GB2312" w:hAnsi="仿宋" w:eastAsia="仿宋_GB2312" w:cs="Times New Roman"/>
                <w:color w:val="auto"/>
                <w:kern w:val="0"/>
                <w:sz w:val="24"/>
                <w:szCs w:val="24"/>
              </w:rPr>
              <w:t>产权交易</w:t>
            </w:r>
          </w:p>
        </w:tc>
        <w:tc>
          <w:tcPr>
            <w:tcW w:w="1688" w:type="pct"/>
            <w:tcBorders>
              <w:tl2br w:val="nil"/>
              <w:tr2bl w:val="nil"/>
            </w:tcBorders>
            <w:noWrap w:val="0"/>
            <w:vAlign w:val="center"/>
          </w:tcPr>
          <w:p>
            <w:pPr>
              <w:widowControl/>
              <w:rPr>
                <w:rFonts w:ascii="仿宋_GB2312" w:hAnsi="仿宋" w:eastAsia="仿宋_GB2312" w:cs="Times New Roman"/>
                <w:color w:val="auto"/>
                <w:kern w:val="0"/>
                <w:sz w:val="24"/>
                <w:szCs w:val="24"/>
              </w:rPr>
            </w:pPr>
            <w:r>
              <w:rPr>
                <w:rFonts w:hint="eastAsia" w:ascii="仿宋_GB2312" w:hAnsi="仿宋" w:eastAsia="仿宋_GB2312" w:cs="Times New Roman"/>
                <w:color w:val="auto"/>
                <w:kern w:val="0"/>
                <w:sz w:val="24"/>
                <w:szCs w:val="24"/>
              </w:rPr>
              <w:t>行政、事业单位国有产权交易</w:t>
            </w:r>
          </w:p>
        </w:tc>
        <w:tc>
          <w:tcPr>
            <w:tcW w:w="834" w:type="pct"/>
            <w:vMerge w:val="restart"/>
            <w:tcBorders>
              <w:tl2br w:val="nil"/>
              <w:tr2bl w:val="nil"/>
            </w:tcBorders>
            <w:noWrap w:val="0"/>
            <w:vAlign w:val="center"/>
          </w:tcPr>
          <w:p>
            <w:pPr>
              <w:widowControl/>
              <w:ind w:firstLine="480" w:firstLineChars="200"/>
              <w:jc w:val="both"/>
              <w:rPr>
                <w:rFonts w:hint="eastAsia" w:ascii="仿宋_GB2312" w:hAnsi="仿宋" w:eastAsia="仿宋_GB2312" w:cs="Times New Roman"/>
                <w:color w:val="auto"/>
                <w:kern w:val="0"/>
                <w:sz w:val="24"/>
                <w:szCs w:val="24"/>
                <w:lang w:eastAsia="zh-CN"/>
              </w:rPr>
            </w:pPr>
            <w:r>
              <w:rPr>
                <w:rFonts w:hint="eastAsia" w:ascii="仿宋_GB2312" w:hAnsi="仿宋" w:eastAsia="仿宋_GB2312" w:cs="Times New Roman"/>
                <w:kern w:val="0"/>
                <w:sz w:val="24"/>
                <w:szCs w:val="24"/>
                <w:lang w:eastAsia="zh-CN"/>
              </w:rPr>
              <w:t>财政部门、公共资源交易监督管理部门按职责分工负责</w:t>
            </w:r>
          </w:p>
        </w:tc>
        <w:tc>
          <w:tcPr>
            <w:tcW w:w="1538" w:type="pct"/>
            <w:tcBorders>
              <w:tl2br w:val="nil"/>
              <w:tr2bl w:val="nil"/>
            </w:tcBorders>
            <w:noWrap w:val="0"/>
            <w:vAlign w:val="center"/>
          </w:tcPr>
          <w:p>
            <w:pPr>
              <w:widowControl/>
              <w:ind w:firstLine="480" w:firstLineChars="200"/>
              <w:rPr>
                <w:rFonts w:hint="eastAsia" w:ascii="仿宋_GB2312" w:hAnsi="仿宋" w:eastAsia="仿宋_GB2312" w:cs="Times New Roman"/>
                <w:color w:val="auto"/>
                <w:kern w:val="0"/>
                <w:sz w:val="24"/>
                <w:szCs w:val="24"/>
                <w:lang w:eastAsia="zh-CN"/>
              </w:rPr>
            </w:pPr>
            <w:r>
              <w:rPr>
                <w:rFonts w:hint="eastAsia" w:ascii="仿宋_GB2312" w:hAnsi="仿宋" w:eastAsia="仿宋_GB2312" w:cs="Times New Roman"/>
                <w:color w:val="auto"/>
                <w:kern w:val="0"/>
                <w:sz w:val="24"/>
                <w:szCs w:val="24"/>
              </w:rPr>
              <w:t>车辆、土地、房屋单项资产原值5万元或批量资产原值10万以上的其他资产等重大资产的出售，原值50万元以上的电子设备、仪器设备的报废</w:t>
            </w:r>
            <w:r>
              <w:rPr>
                <w:rFonts w:hint="eastAsia" w:ascii="仿宋_GB2312" w:hAnsi="仿宋" w:eastAsia="仿宋_GB2312" w:cs="Times New Roman"/>
                <w:color w:val="auto"/>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311" w:type="pct"/>
            <w:vMerge w:val="continue"/>
            <w:tcBorders>
              <w:tl2br w:val="nil"/>
              <w:tr2bl w:val="nil"/>
            </w:tcBorders>
            <w:noWrap w:val="0"/>
            <w:vAlign w:val="center"/>
          </w:tcPr>
          <w:p>
            <w:pPr>
              <w:widowControl/>
              <w:jc w:val="left"/>
              <w:rPr>
                <w:rFonts w:ascii="仿宋_GB2312" w:hAnsi="仿宋" w:eastAsia="仿宋_GB2312" w:cs="Times New Roman"/>
                <w:color w:val="auto"/>
                <w:kern w:val="0"/>
                <w:sz w:val="24"/>
                <w:szCs w:val="24"/>
              </w:rPr>
            </w:pPr>
          </w:p>
        </w:tc>
        <w:tc>
          <w:tcPr>
            <w:tcW w:w="627" w:type="pct"/>
            <w:vMerge w:val="continue"/>
            <w:tcBorders>
              <w:tl2br w:val="nil"/>
              <w:tr2bl w:val="nil"/>
            </w:tcBorders>
            <w:noWrap w:val="0"/>
            <w:vAlign w:val="center"/>
          </w:tcPr>
          <w:p>
            <w:pPr>
              <w:widowControl/>
              <w:jc w:val="left"/>
              <w:rPr>
                <w:rFonts w:ascii="仿宋_GB2312" w:hAnsi="仿宋" w:eastAsia="仿宋_GB2312" w:cs="Times New Roman"/>
                <w:color w:val="auto"/>
                <w:kern w:val="0"/>
                <w:sz w:val="24"/>
                <w:szCs w:val="24"/>
              </w:rPr>
            </w:pPr>
          </w:p>
        </w:tc>
        <w:tc>
          <w:tcPr>
            <w:tcW w:w="1688" w:type="pct"/>
            <w:tcBorders>
              <w:tl2br w:val="nil"/>
              <w:tr2bl w:val="nil"/>
            </w:tcBorders>
            <w:noWrap w:val="0"/>
            <w:vAlign w:val="center"/>
          </w:tcPr>
          <w:p>
            <w:pPr>
              <w:widowControl/>
              <w:rPr>
                <w:rFonts w:ascii="仿宋_GB2312" w:hAnsi="仿宋" w:eastAsia="仿宋_GB2312" w:cs="Times New Roman"/>
                <w:color w:val="auto"/>
                <w:kern w:val="0"/>
                <w:sz w:val="24"/>
                <w:szCs w:val="24"/>
              </w:rPr>
            </w:pPr>
            <w:r>
              <w:rPr>
                <w:rFonts w:hint="eastAsia" w:ascii="仿宋_GB2312" w:hAnsi="仿宋" w:eastAsia="仿宋_GB2312" w:cs="Times New Roman"/>
                <w:color w:val="auto"/>
                <w:kern w:val="0"/>
                <w:sz w:val="24"/>
                <w:szCs w:val="24"/>
              </w:rPr>
              <w:t>行政机关事业单位房屋租赁</w:t>
            </w:r>
          </w:p>
        </w:tc>
        <w:tc>
          <w:tcPr>
            <w:tcW w:w="834" w:type="pct"/>
            <w:vMerge w:val="continue"/>
            <w:tcBorders>
              <w:tl2br w:val="nil"/>
              <w:tr2bl w:val="nil"/>
            </w:tcBorders>
            <w:noWrap w:val="0"/>
            <w:vAlign w:val="center"/>
          </w:tcPr>
          <w:p>
            <w:pPr>
              <w:widowControl/>
              <w:rPr>
                <w:rFonts w:hint="eastAsia" w:ascii="仿宋_GB2312" w:hAnsi="仿宋" w:eastAsia="仿宋_GB2312" w:cs="Times New Roman"/>
                <w:bCs/>
                <w:color w:val="auto"/>
                <w:kern w:val="0"/>
                <w:sz w:val="24"/>
                <w:szCs w:val="24"/>
              </w:rPr>
            </w:pPr>
          </w:p>
        </w:tc>
        <w:tc>
          <w:tcPr>
            <w:tcW w:w="1538" w:type="pct"/>
            <w:tcBorders>
              <w:tl2br w:val="nil"/>
              <w:tr2bl w:val="nil"/>
            </w:tcBorders>
            <w:noWrap w:val="0"/>
            <w:vAlign w:val="center"/>
          </w:tcPr>
          <w:p>
            <w:pPr>
              <w:widowControl/>
              <w:rPr>
                <w:rFonts w:hint="eastAsia" w:ascii="仿宋_GB2312" w:hAnsi="仿宋" w:eastAsia="仿宋_GB2312" w:cs="Times New Roman"/>
                <w:bCs/>
                <w:color w:val="auto"/>
                <w:kern w:val="0"/>
                <w:sz w:val="24"/>
                <w:szCs w:val="24"/>
                <w:lang w:eastAsia="zh-CN"/>
              </w:rPr>
            </w:pPr>
            <w:r>
              <w:rPr>
                <w:rFonts w:hint="eastAsia" w:ascii="仿宋_GB2312" w:hAnsi="仿宋" w:eastAsia="仿宋_GB2312" w:cs="Times New Roman"/>
                <w:bCs/>
                <w:color w:val="auto"/>
                <w:kern w:val="0"/>
                <w:sz w:val="24"/>
                <w:szCs w:val="24"/>
              </w:rPr>
              <w:t>全部</w:t>
            </w:r>
            <w:r>
              <w:rPr>
                <w:rFonts w:hint="eastAsia" w:ascii="仿宋_GB2312" w:hAnsi="仿宋" w:eastAsia="仿宋_GB2312" w:cs="Times New Roman"/>
                <w:bCs/>
                <w:color w:val="auto"/>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311" w:type="pct"/>
            <w:vMerge w:val="continue"/>
            <w:tcBorders>
              <w:tl2br w:val="nil"/>
              <w:tr2bl w:val="nil"/>
            </w:tcBorders>
            <w:noWrap w:val="0"/>
            <w:vAlign w:val="center"/>
          </w:tcPr>
          <w:p>
            <w:pPr>
              <w:widowControl/>
              <w:jc w:val="center"/>
              <w:rPr>
                <w:rFonts w:hint="eastAsia" w:ascii="仿宋_GB2312" w:hAnsi="仿宋" w:eastAsia="仿宋_GB2312" w:cs="Times New Roman"/>
                <w:kern w:val="0"/>
                <w:sz w:val="24"/>
                <w:szCs w:val="24"/>
              </w:rPr>
            </w:pPr>
          </w:p>
        </w:tc>
        <w:tc>
          <w:tcPr>
            <w:tcW w:w="627" w:type="pct"/>
            <w:vMerge w:val="continue"/>
            <w:tcBorders>
              <w:tl2br w:val="nil"/>
              <w:tr2bl w:val="nil"/>
            </w:tcBorders>
            <w:noWrap w:val="0"/>
            <w:vAlign w:val="center"/>
          </w:tcPr>
          <w:p>
            <w:pPr>
              <w:widowControl/>
              <w:rPr>
                <w:rFonts w:hint="eastAsia" w:ascii="仿宋_GB2312" w:hAnsi="仿宋" w:eastAsia="仿宋_GB2312" w:cs="Times New Roman"/>
                <w:kern w:val="0"/>
                <w:sz w:val="24"/>
                <w:szCs w:val="24"/>
              </w:rPr>
            </w:pPr>
          </w:p>
        </w:tc>
        <w:tc>
          <w:tcPr>
            <w:tcW w:w="1688" w:type="pc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供销合作社社有资产交易</w:t>
            </w:r>
          </w:p>
        </w:tc>
        <w:tc>
          <w:tcPr>
            <w:tcW w:w="834" w:type="pct"/>
            <w:tcBorders>
              <w:tl2br w:val="nil"/>
              <w:tr2bl w:val="nil"/>
            </w:tcBorders>
            <w:noWrap w:val="0"/>
            <w:vAlign w:val="center"/>
          </w:tcPr>
          <w:p>
            <w:pPr>
              <w:widowControl/>
              <w:ind w:firstLine="480" w:firstLineChars="200"/>
              <w:jc w:val="center"/>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供销合作社、公共资源交易监督管理部门</w:t>
            </w:r>
          </w:p>
        </w:tc>
        <w:tc>
          <w:tcPr>
            <w:tcW w:w="1538" w:type="pc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311" w:type="pct"/>
            <w:vMerge w:val="restart"/>
            <w:tcBorders>
              <w:tl2br w:val="nil"/>
              <w:tr2bl w:val="nil"/>
            </w:tcBorders>
            <w:noWrap w:val="0"/>
            <w:vAlign w:val="center"/>
          </w:tcPr>
          <w:p>
            <w:pPr>
              <w:widowControl/>
              <w:jc w:val="center"/>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val="en-US" w:eastAsia="zh-CN"/>
              </w:rPr>
              <w:t>5</w:t>
            </w:r>
          </w:p>
        </w:tc>
        <w:tc>
          <w:tcPr>
            <w:tcW w:w="627" w:type="pct"/>
            <w:vMerge w:val="restart"/>
            <w:tcBorders>
              <w:tl2br w:val="nil"/>
              <w:tr2bl w:val="nil"/>
            </w:tcBorders>
            <w:noWrap w:val="0"/>
            <w:vAlign w:val="center"/>
          </w:tcPr>
          <w:p>
            <w:pPr>
              <w:widowControl/>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土地使用权和矿业权出让</w:t>
            </w:r>
          </w:p>
        </w:tc>
        <w:tc>
          <w:tcPr>
            <w:tcW w:w="1688" w:type="pct"/>
            <w:tcBorders>
              <w:tl2br w:val="nil"/>
              <w:tr2bl w:val="nil"/>
            </w:tcBorders>
            <w:noWrap w:val="0"/>
            <w:vAlign w:val="center"/>
          </w:tcPr>
          <w:p>
            <w:pPr>
              <w:widowControl/>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国有建设用地使用权出让</w:t>
            </w:r>
          </w:p>
        </w:tc>
        <w:tc>
          <w:tcPr>
            <w:tcW w:w="834" w:type="pct"/>
            <w:vMerge w:val="restart"/>
            <w:tcBorders>
              <w:tl2br w:val="nil"/>
              <w:tr2bl w:val="nil"/>
            </w:tcBorders>
            <w:noWrap w:val="0"/>
            <w:vAlign w:val="center"/>
          </w:tcPr>
          <w:p>
            <w:pPr>
              <w:widowControl/>
              <w:jc w:val="center"/>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自规部门、公共资源交易监督管理部门按职责分工负责</w:t>
            </w:r>
          </w:p>
        </w:tc>
        <w:tc>
          <w:tcPr>
            <w:tcW w:w="1538" w:type="pct"/>
            <w:vMerge w:val="restart"/>
            <w:tcBorders>
              <w:tl2br w:val="nil"/>
              <w:tr2bl w:val="nil"/>
            </w:tcBorders>
            <w:noWrap w:val="0"/>
            <w:vAlign w:val="center"/>
          </w:tcPr>
          <w:p>
            <w:pPr>
              <w:widowControl/>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311" w:type="pct"/>
            <w:vMerge w:val="continue"/>
            <w:tcBorders>
              <w:tl2br w:val="nil"/>
              <w:tr2bl w:val="nil"/>
            </w:tcBorders>
            <w:noWrap w:val="0"/>
            <w:vAlign w:val="center"/>
          </w:tcPr>
          <w:p>
            <w:pPr>
              <w:widowControl/>
              <w:jc w:val="center"/>
              <w:rPr>
                <w:rFonts w:hint="eastAsia" w:ascii="仿宋_GB2312" w:hAnsi="仿宋" w:eastAsia="仿宋_GB2312" w:cs="Times New Roman"/>
                <w:kern w:val="0"/>
                <w:sz w:val="24"/>
                <w:szCs w:val="24"/>
                <w:lang w:eastAsia="zh-CN"/>
              </w:rPr>
            </w:pPr>
          </w:p>
        </w:tc>
        <w:tc>
          <w:tcPr>
            <w:tcW w:w="627" w:type="pct"/>
            <w:vMerge w:val="continue"/>
            <w:tcBorders>
              <w:tl2br w:val="nil"/>
              <w:tr2bl w:val="nil"/>
            </w:tcBorders>
            <w:noWrap w:val="0"/>
            <w:vAlign w:val="center"/>
          </w:tcPr>
          <w:p>
            <w:pPr>
              <w:widowControl/>
              <w:jc w:val="left"/>
              <w:rPr>
                <w:rFonts w:ascii="仿宋_GB2312" w:hAnsi="仿宋" w:eastAsia="仿宋_GB2312" w:cs="Times New Roman"/>
                <w:kern w:val="0"/>
                <w:sz w:val="24"/>
                <w:szCs w:val="24"/>
              </w:rPr>
            </w:pPr>
          </w:p>
        </w:tc>
        <w:tc>
          <w:tcPr>
            <w:tcW w:w="1688" w:type="pc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矿业权出让</w:t>
            </w:r>
          </w:p>
        </w:tc>
        <w:tc>
          <w:tcPr>
            <w:tcW w:w="834" w:type="pct"/>
            <w:vMerge w:val="continue"/>
            <w:tcBorders>
              <w:tl2br w:val="nil"/>
              <w:tr2bl w:val="nil"/>
            </w:tcBorders>
            <w:noWrap w:val="0"/>
            <w:vAlign w:val="center"/>
          </w:tcPr>
          <w:p>
            <w:pPr>
              <w:widowControl/>
              <w:jc w:val="center"/>
              <w:rPr>
                <w:rFonts w:hint="eastAsia" w:ascii="仿宋_GB2312" w:hAnsi="仿宋" w:eastAsia="仿宋_GB2312" w:cs="Times New Roman"/>
                <w:kern w:val="0"/>
                <w:sz w:val="24"/>
                <w:szCs w:val="24"/>
              </w:rPr>
            </w:pPr>
          </w:p>
        </w:tc>
        <w:tc>
          <w:tcPr>
            <w:tcW w:w="1538" w:type="pct"/>
            <w:vMerge w:val="continue"/>
            <w:tcBorders>
              <w:tl2br w:val="nil"/>
              <w:tr2bl w:val="nil"/>
            </w:tcBorders>
            <w:noWrap w:val="0"/>
            <w:vAlign w:val="center"/>
          </w:tcPr>
          <w:p>
            <w:pPr>
              <w:widowControl/>
              <w:rPr>
                <w:rFonts w:ascii="仿宋_GB2312" w:hAnsi="仿宋"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311" w:type="pct"/>
            <w:vMerge w:val="restart"/>
            <w:tcBorders>
              <w:tl2br w:val="nil"/>
              <w:tr2bl w:val="nil"/>
            </w:tcBorders>
            <w:noWrap w:val="0"/>
            <w:vAlign w:val="center"/>
          </w:tcPr>
          <w:p>
            <w:pPr>
              <w:widowControl/>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lang w:val="en-US" w:eastAsia="zh-CN"/>
              </w:rPr>
              <w:t>6</w:t>
            </w:r>
          </w:p>
        </w:tc>
        <w:tc>
          <w:tcPr>
            <w:tcW w:w="627" w:type="pct"/>
            <w:vMerge w:val="restar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无形资产交易</w:t>
            </w:r>
          </w:p>
        </w:tc>
        <w:tc>
          <w:tcPr>
            <w:tcW w:w="1688" w:type="pc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基础设施和公用事业特许经营权授予</w:t>
            </w:r>
          </w:p>
        </w:tc>
        <w:tc>
          <w:tcPr>
            <w:tcW w:w="834" w:type="pct"/>
            <w:vMerge w:val="restart"/>
            <w:tcBorders>
              <w:tl2br w:val="nil"/>
              <w:tr2bl w:val="nil"/>
            </w:tcBorders>
            <w:noWrap w:val="0"/>
            <w:vAlign w:val="center"/>
          </w:tcPr>
          <w:p>
            <w:pPr>
              <w:widowControl/>
              <w:jc w:val="center"/>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lang w:eastAsia="zh-CN"/>
              </w:rPr>
              <w:t>相关行业主管部门、公共资源交易监督管理部门按职责分工负责</w:t>
            </w:r>
          </w:p>
        </w:tc>
        <w:tc>
          <w:tcPr>
            <w:tcW w:w="1538" w:type="pct"/>
            <w:vMerge w:val="restar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311" w:type="pct"/>
            <w:vMerge w:val="continue"/>
            <w:tcBorders>
              <w:tl2br w:val="nil"/>
              <w:tr2bl w:val="nil"/>
            </w:tcBorders>
            <w:noWrap w:val="0"/>
            <w:vAlign w:val="center"/>
          </w:tcPr>
          <w:p>
            <w:pPr>
              <w:widowControl/>
              <w:jc w:val="center"/>
              <w:rPr>
                <w:rFonts w:hint="eastAsia" w:ascii="仿宋_GB2312" w:hAnsi="仿宋" w:eastAsia="仿宋_GB2312" w:cs="Times New Roman"/>
                <w:kern w:val="0"/>
                <w:sz w:val="24"/>
                <w:szCs w:val="24"/>
                <w:lang w:eastAsia="zh-CN"/>
              </w:rPr>
            </w:pPr>
          </w:p>
        </w:tc>
        <w:tc>
          <w:tcPr>
            <w:tcW w:w="627" w:type="pct"/>
            <w:vMerge w:val="continue"/>
            <w:tcBorders>
              <w:tl2br w:val="nil"/>
              <w:tr2bl w:val="nil"/>
            </w:tcBorders>
            <w:noWrap w:val="0"/>
            <w:vAlign w:val="center"/>
          </w:tcPr>
          <w:p>
            <w:pPr>
              <w:widowControl/>
              <w:rPr>
                <w:rFonts w:ascii="仿宋_GB2312" w:hAnsi="仿宋" w:eastAsia="仿宋_GB2312" w:cs="Times New Roman"/>
                <w:kern w:val="0"/>
                <w:sz w:val="24"/>
                <w:szCs w:val="24"/>
              </w:rPr>
            </w:pPr>
          </w:p>
        </w:tc>
        <w:tc>
          <w:tcPr>
            <w:tcW w:w="1688" w:type="pc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市政公用设施及公共场地使用权、承包经营权、冠名权有偿转让</w:t>
            </w:r>
          </w:p>
        </w:tc>
        <w:tc>
          <w:tcPr>
            <w:tcW w:w="834" w:type="pct"/>
            <w:vMerge w:val="continue"/>
            <w:tcBorders>
              <w:tl2br w:val="nil"/>
              <w:tr2bl w:val="nil"/>
            </w:tcBorders>
            <w:noWrap w:val="0"/>
            <w:vAlign w:val="center"/>
          </w:tcPr>
          <w:p>
            <w:pPr>
              <w:widowControl/>
              <w:jc w:val="center"/>
              <w:rPr>
                <w:rFonts w:hint="eastAsia" w:ascii="仿宋_GB2312" w:hAnsi="仿宋" w:eastAsia="仿宋_GB2312" w:cs="Times New Roman"/>
                <w:kern w:val="0"/>
                <w:sz w:val="24"/>
                <w:szCs w:val="24"/>
                <w:lang w:eastAsia="zh-CN"/>
              </w:rPr>
            </w:pPr>
          </w:p>
        </w:tc>
        <w:tc>
          <w:tcPr>
            <w:tcW w:w="1538" w:type="pct"/>
            <w:vMerge w:val="continue"/>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311" w:type="pct"/>
            <w:vMerge w:val="restart"/>
            <w:tcBorders>
              <w:tl2br w:val="nil"/>
              <w:tr2bl w:val="nil"/>
            </w:tcBorders>
            <w:noWrap w:val="0"/>
            <w:vAlign w:val="center"/>
          </w:tcPr>
          <w:p>
            <w:pPr>
              <w:widowControl/>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lang w:val="en-US" w:eastAsia="zh-CN"/>
              </w:rPr>
              <w:t>7</w:t>
            </w:r>
          </w:p>
        </w:tc>
        <w:tc>
          <w:tcPr>
            <w:tcW w:w="627" w:type="pct"/>
            <w:vMerge w:val="restar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农村集体产权交易</w:t>
            </w:r>
          </w:p>
        </w:tc>
        <w:tc>
          <w:tcPr>
            <w:tcW w:w="1688" w:type="pc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农村集体土地经营权流转</w:t>
            </w:r>
          </w:p>
        </w:tc>
        <w:tc>
          <w:tcPr>
            <w:tcW w:w="834" w:type="pct"/>
            <w:vMerge w:val="restart"/>
            <w:tcBorders>
              <w:tl2br w:val="nil"/>
              <w:tr2bl w:val="nil"/>
            </w:tcBorders>
            <w:noWrap w:val="0"/>
            <w:vAlign w:val="center"/>
          </w:tcPr>
          <w:p>
            <w:pPr>
              <w:widowControl/>
              <w:jc w:val="center"/>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lang w:eastAsia="zh-CN"/>
              </w:rPr>
              <w:t>农业农村部门、公共资源交易监督管理部门按职责分工负责</w:t>
            </w:r>
          </w:p>
        </w:tc>
        <w:tc>
          <w:tcPr>
            <w:tcW w:w="1538" w:type="pct"/>
            <w:vMerge w:val="restar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单项或批量金额2万元（评估价）及以上</w:t>
            </w:r>
            <w:r>
              <w:rPr>
                <w:rFonts w:hint="eastAsia" w:ascii="仿宋_GB2312" w:hAnsi="仿宋" w:eastAsia="仿宋_GB2312" w:cs="Times New Roman"/>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311" w:type="pct"/>
            <w:vMerge w:val="continue"/>
            <w:tcBorders>
              <w:tl2br w:val="nil"/>
              <w:tr2bl w:val="nil"/>
            </w:tcBorders>
            <w:noWrap w:val="0"/>
            <w:vAlign w:val="center"/>
          </w:tcPr>
          <w:p>
            <w:pPr>
              <w:widowControl/>
              <w:jc w:val="center"/>
              <w:rPr>
                <w:rFonts w:hint="eastAsia" w:ascii="仿宋_GB2312" w:hAnsi="仿宋" w:eastAsia="仿宋_GB2312" w:cs="Times New Roman"/>
                <w:kern w:val="0"/>
                <w:sz w:val="24"/>
                <w:szCs w:val="24"/>
                <w:lang w:eastAsia="zh-CN"/>
              </w:rPr>
            </w:pPr>
          </w:p>
        </w:tc>
        <w:tc>
          <w:tcPr>
            <w:tcW w:w="627" w:type="pct"/>
            <w:vMerge w:val="continue"/>
            <w:tcBorders>
              <w:tl2br w:val="nil"/>
              <w:tr2bl w:val="nil"/>
            </w:tcBorders>
            <w:noWrap w:val="0"/>
            <w:vAlign w:val="center"/>
          </w:tcPr>
          <w:p>
            <w:pPr>
              <w:widowControl/>
              <w:rPr>
                <w:rFonts w:ascii="仿宋_GB2312" w:hAnsi="仿宋" w:eastAsia="仿宋_GB2312" w:cs="Times New Roman"/>
                <w:kern w:val="0"/>
                <w:sz w:val="24"/>
                <w:szCs w:val="24"/>
              </w:rPr>
            </w:pPr>
          </w:p>
        </w:tc>
        <w:tc>
          <w:tcPr>
            <w:tcW w:w="1688" w:type="pc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农村集体经营性资产出租转让</w:t>
            </w:r>
          </w:p>
        </w:tc>
        <w:tc>
          <w:tcPr>
            <w:tcW w:w="834" w:type="pct"/>
            <w:vMerge w:val="continue"/>
            <w:tcBorders>
              <w:tl2br w:val="nil"/>
              <w:tr2bl w:val="nil"/>
            </w:tcBorders>
            <w:noWrap w:val="0"/>
            <w:vAlign w:val="center"/>
          </w:tcPr>
          <w:p>
            <w:pPr>
              <w:widowControl/>
              <w:jc w:val="center"/>
              <w:rPr>
                <w:rFonts w:hint="eastAsia" w:ascii="仿宋_GB2312" w:hAnsi="仿宋" w:eastAsia="仿宋_GB2312" w:cs="Times New Roman"/>
                <w:kern w:val="0"/>
                <w:sz w:val="24"/>
                <w:szCs w:val="24"/>
                <w:lang w:eastAsia="zh-CN"/>
              </w:rPr>
            </w:pPr>
          </w:p>
        </w:tc>
        <w:tc>
          <w:tcPr>
            <w:tcW w:w="1538" w:type="pct"/>
            <w:vMerge w:val="continue"/>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311" w:type="pct"/>
            <w:vMerge w:val="continue"/>
            <w:tcBorders>
              <w:tl2br w:val="nil"/>
              <w:tr2bl w:val="nil"/>
            </w:tcBorders>
            <w:noWrap w:val="0"/>
            <w:vAlign w:val="center"/>
          </w:tcPr>
          <w:p>
            <w:pPr>
              <w:widowControl/>
              <w:jc w:val="center"/>
              <w:rPr>
                <w:rFonts w:ascii="仿宋_GB2312" w:hAnsi="仿宋" w:eastAsia="仿宋_GB2312" w:cs="Times New Roman"/>
                <w:kern w:val="0"/>
                <w:sz w:val="24"/>
                <w:szCs w:val="24"/>
              </w:rPr>
            </w:pPr>
          </w:p>
        </w:tc>
        <w:tc>
          <w:tcPr>
            <w:tcW w:w="627" w:type="pct"/>
            <w:vMerge w:val="continue"/>
            <w:tcBorders>
              <w:tl2br w:val="nil"/>
              <w:tr2bl w:val="nil"/>
            </w:tcBorders>
            <w:noWrap w:val="0"/>
            <w:vAlign w:val="center"/>
          </w:tcPr>
          <w:p>
            <w:pPr>
              <w:widowControl/>
              <w:rPr>
                <w:rFonts w:ascii="仿宋_GB2312" w:hAnsi="仿宋" w:eastAsia="仿宋_GB2312" w:cs="Times New Roman"/>
                <w:kern w:val="0"/>
                <w:sz w:val="24"/>
                <w:szCs w:val="24"/>
              </w:rPr>
            </w:pPr>
          </w:p>
        </w:tc>
        <w:tc>
          <w:tcPr>
            <w:tcW w:w="1688" w:type="pc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农村集体资产股权转让</w:t>
            </w:r>
          </w:p>
        </w:tc>
        <w:tc>
          <w:tcPr>
            <w:tcW w:w="834" w:type="pct"/>
            <w:vMerge w:val="continue"/>
            <w:tcBorders>
              <w:tl2br w:val="nil"/>
              <w:tr2bl w:val="nil"/>
            </w:tcBorders>
            <w:noWrap w:val="0"/>
            <w:vAlign w:val="center"/>
          </w:tcPr>
          <w:p>
            <w:pPr>
              <w:widowControl/>
              <w:jc w:val="center"/>
              <w:rPr>
                <w:rFonts w:ascii="仿宋_GB2312" w:hAnsi="仿宋" w:eastAsia="仿宋_GB2312" w:cs="Times New Roman"/>
                <w:kern w:val="0"/>
                <w:sz w:val="24"/>
                <w:szCs w:val="24"/>
              </w:rPr>
            </w:pPr>
          </w:p>
        </w:tc>
        <w:tc>
          <w:tcPr>
            <w:tcW w:w="1538" w:type="pct"/>
            <w:vMerge w:val="continue"/>
            <w:tcBorders>
              <w:tl2br w:val="nil"/>
              <w:tr2bl w:val="nil"/>
            </w:tcBorders>
            <w:noWrap w:val="0"/>
            <w:vAlign w:val="center"/>
          </w:tcPr>
          <w:p>
            <w:pPr>
              <w:widowControl/>
              <w:rPr>
                <w:rFonts w:ascii="仿宋_GB2312" w:hAnsi="仿宋"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311" w:type="pct"/>
            <w:vMerge w:val="restart"/>
            <w:tcBorders>
              <w:tl2br w:val="nil"/>
              <w:tr2bl w:val="nil"/>
            </w:tcBorders>
            <w:noWrap w:val="0"/>
            <w:vAlign w:val="center"/>
          </w:tcPr>
          <w:p>
            <w:pPr>
              <w:widowControl/>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lang w:val="en-US" w:eastAsia="zh-CN"/>
              </w:rPr>
              <w:t>8</w:t>
            </w:r>
          </w:p>
        </w:tc>
        <w:tc>
          <w:tcPr>
            <w:tcW w:w="627" w:type="pct"/>
            <w:vMerge w:val="restar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林权交易</w:t>
            </w:r>
          </w:p>
        </w:tc>
        <w:tc>
          <w:tcPr>
            <w:tcW w:w="1688" w:type="pc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国有林地使用权、租赁权和林木所有权出让</w:t>
            </w:r>
          </w:p>
        </w:tc>
        <w:tc>
          <w:tcPr>
            <w:tcW w:w="834" w:type="pct"/>
            <w:vMerge w:val="restart"/>
            <w:tcBorders>
              <w:tl2br w:val="nil"/>
              <w:tr2bl w:val="nil"/>
            </w:tcBorders>
            <w:noWrap w:val="0"/>
            <w:vAlign w:val="center"/>
          </w:tcPr>
          <w:p>
            <w:pPr>
              <w:widowControl/>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lang w:eastAsia="zh-CN"/>
              </w:rPr>
              <w:t>自规部门</w:t>
            </w:r>
          </w:p>
        </w:tc>
        <w:tc>
          <w:tcPr>
            <w:tcW w:w="1538" w:type="pct"/>
            <w:vMerge w:val="restar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lang w:eastAsia="zh-CN"/>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trPr>
        <w:tc>
          <w:tcPr>
            <w:tcW w:w="311" w:type="pct"/>
            <w:vMerge w:val="continue"/>
            <w:tcBorders>
              <w:tl2br w:val="nil"/>
              <w:tr2bl w:val="nil"/>
            </w:tcBorders>
            <w:noWrap w:val="0"/>
            <w:vAlign w:val="center"/>
          </w:tcPr>
          <w:p>
            <w:pPr>
              <w:widowControl/>
              <w:jc w:val="center"/>
              <w:rPr>
                <w:rFonts w:ascii="仿宋_GB2312" w:hAnsi="仿宋" w:eastAsia="仿宋_GB2312" w:cs="Times New Roman"/>
                <w:kern w:val="0"/>
                <w:sz w:val="24"/>
                <w:szCs w:val="24"/>
              </w:rPr>
            </w:pPr>
          </w:p>
        </w:tc>
        <w:tc>
          <w:tcPr>
            <w:tcW w:w="627" w:type="pct"/>
            <w:vMerge w:val="continue"/>
            <w:tcBorders>
              <w:tl2br w:val="nil"/>
              <w:tr2bl w:val="nil"/>
            </w:tcBorders>
            <w:noWrap w:val="0"/>
            <w:vAlign w:val="center"/>
          </w:tcPr>
          <w:p>
            <w:pPr>
              <w:widowControl/>
              <w:rPr>
                <w:rFonts w:ascii="仿宋_GB2312" w:hAnsi="仿宋" w:eastAsia="仿宋_GB2312" w:cs="Times New Roman"/>
                <w:kern w:val="0"/>
                <w:sz w:val="24"/>
                <w:szCs w:val="24"/>
              </w:rPr>
            </w:pPr>
          </w:p>
        </w:tc>
        <w:tc>
          <w:tcPr>
            <w:tcW w:w="1688" w:type="pc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集体统一经营管理的林地经营权和林木所有权出让</w:t>
            </w:r>
          </w:p>
        </w:tc>
        <w:tc>
          <w:tcPr>
            <w:tcW w:w="834" w:type="pct"/>
            <w:vMerge w:val="continue"/>
            <w:tcBorders>
              <w:tl2br w:val="nil"/>
              <w:tr2bl w:val="nil"/>
            </w:tcBorders>
            <w:noWrap w:val="0"/>
            <w:vAlign w:val="center"/>
          </w:tcPr>
          <w:p>
            <w:pPr>
              <w:widowControl/>
              <w:jc w:val="center"/>
              <w:rPr>
                <w:rFonts w:ascii="仿宋_GB2312" w:hAnsi="仿宋" w:eastAsia="仿宋_GB2312" w:cs="Times New Roman"/>
                <w:kern w:val="0"/>
                <w:sz w:val="24"/>
                <w:szCs w:val="24"/>
              </w:rPr>
            </w:pPr>
          </w:p>
        </w:tc>
        <w:tc>
          <w:tcPr>
            <w:tcW w:w="1538" w:type="pct"/>
            <w:vMerge w:val="continue"/>
            <w:tcBorders>
              <w:tl2br w:val="nil"/>
              <w:tr2bl w:val="nil"/>
            </w:tcBorders>
            <w:noWrap w:val="0"/>
            <w:vAlign w:val="center"/>
          </w:tcPr>
          <w:p>
            <w:pPr>
              <w:widowControl/>
              <w:rPr>
                <w:rFonts w:ascii="仿宋_GB2312" w:hAnsi="仿宋"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atLeast"/>
        </w:trPr>
        <w:tc>
          <w:tcPr>
            <w:tcW w:w="311" w:type="pct"/>
            <w:vMerge w:val="restart"/>
            <w:tcBorders>
              <w:tl2br w:val="nil"/>
              <w:tr2bl w:val="nil"/>
            </w:tcBorders>
            <w:noWrap w:val="0"/>
            <w:vAlign w:val="center"/>
          </w:tcPr>
          <w:p>
            <w:pPr>
              <w:widowControl/>
              <w:jc w:val="center"/>
              <w:rPr>
                <w:rFonts w:hint="eastAsia" w:ascii="仿宋_GB2312" w:hAnsi="仿宋" w:eastAsia="仿宋_GB2312" w:cs="Times New Roman"/>
                <w:kern w:val="0"/>
                <w:sz w:val="24"/>
                <w:szCs w:val="24"/>
                <w:lang w:val="en-US" w:eastAsia="zh-CN"/>
              </w:rPr>
            </w:pPr>
            <w:r>
              <w:rPr>
                <w:rFonts w:hint="eastAsia" w:ascii="仿宋_GB2312" w:hAnsi="仿宋" w:eastAsia="仿宋_GB2312" w:cs="Times New Roman"/>
                <w:kern w:val="0"/>
                <w:sz w:val="24"/>
                <w:szCs w:val="24"/>
                <w:lang w:val="en-US" w:eastAsia="zh-CN"/>
              </w:rPr>
              <w:t>9</w:t>
            </w:r>
          </w:p>
        </w:tc>
        <w:tc>
          <w:tcPr>
            <w:tcW w:w="627" w:type="pct"/>
            <w:vMerge w:val="restart"/>
            <w:tcBorders>
              <w:tl2br w:val="nil"/>
              <w:tr2bl w:val="nil"/>
            </w:tcBorders>
            <w:noWrap w:val="0"/>
            <w:vAlign w:val="center"/>
          </w:tcPr>
          <w:p>
            <w:pPr>
              <w:widowControl/>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lang w:eastAsia="zh-CN"/>
              </w:rPr>
              <w:t>草原交易</w:t>
            </w:r>
          </w:p>
        </w:tc>
        <w:tc>
          <w:tcPr>
            <w:tcW w:w="1688" w:type="pc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国家所有的草原使用权、租赁权和牧草所有权出让</w:t>
            </w:r>
          </w:p>
        </w:tc>
        <w:tc>
          <w:tcPr>
            <w:tcW w:w="834" w:type="pct"/>
            <w:vMerge w:val="restart"/>
            <w:tcBorders>
              <w:tl2br w:val="nil"/>
              <w:tr2bl w:val="nil"/>
            </w:tcBorders>
            <w:noWrap w:val="0"/>
            <w:vAlign w:val="center"/>
          </w:tcPr>
          <w:p>
            <w:pPr>
              <w:widowControl/>
              <w:jc w:val="center"/>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自规部门</w:t>
            </w:r>
          </w:p>
        </w:tc>
        <w:tc>
          <w:tcPr>
            <w:tcW w:w="1538" w:type="pct"/>
            <w:vMerge w:val="restar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atLeast"/>
        </w:trPr>
        <w:tc>
          <w:tcPr>
            <w:tcW w:w="311" w:type="pct"/>
            <w:vMerge w:val="continue"/>
            <w:tcBorders>
              <w:tl2br w:val="nil"/>
              <w:tr2bl w:val="nil"/>
            </w:tcBorders>
            <w:noWrap w:val="0"/>
            <w:vAlign w:val="center"/>
          </w:tcPr>
          <w:p>
            <w:pPr>
              <w:widowControl/>
              <w:jc w:val="center"/>
              <w:rPr>
                <w:rFonts w:ascii="仿宋_GB2312" w:hAnsi="仿宋" w:eastAsia="仿宋_GB2312" w:cs="Times New Roman"/>
                <w:kern w:val="0"/>
                <w:sz w:val="24"/>
                <w:szCs w:val="24"/>
              </w:rPr>
            </w:pPr>
          </w:p>
        </w:tc>
        <w:tc>
          <w:tcPr>
            <w:tcW w:w="627" w:type="pct"/>
            <w:vMerge w:val="continue"/>
            <w:tcBorders>
              <w:tl2br w:val="nil"/>
              <w:tr2bl w:val="nil"/>
            </w:tcBorders>
            <w:noWrap w:val="0"/>
            <w:vAlign w:val="center"/>
          </w:tcPr>
          <w:p>
            <w:pPr>
              <w:widowControl/>
              <w:rPr>
                <w:rFonts w:ascii="仿宋_GB2312" w:hAnsi="仿宋" w:eastAsia="仿宋_GB2312" w:cs="Times New Roman"/>
                <w:kern w:val="0"/>
                <w:sz w:val="24"/>
                <w:szCs w:val="24"/>
              </w:rPr>
            </w:pPr>
          </w:p>
        </w:tc>
        <w:tc>
          <w:tcPr>
            <w:tcW w:w="1688" w:type="pc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集体所有的草原或者依法确定给集体经济组织使用的国家所有的草原经营权及牧草所有权出让</w:t>
            </w:r>
          </w:p>
        </w:tc>
        <w:tc>
          <w:tcPr>
            <w:tcW w:w="834" w:type="pct"/>
            <w:vMerge w:val="continue"/>
            <w:tcBorders>
              <w:tl2br w:val="nil"/>
              <w:tr2bl w:val="nil"/>
            </w:tcBorders>
            <w:noWrap w:val="0"/>
            <w:vAlign w:val="center"/>
          </w:tcPr>
          <w:p>
            <w:pPr>
              <w:widowControl/>
              <w:jc w:val="center"/>
              <w:rPr>
                <w:rFonts w:hint="eastAsia" w:ascii="仿宋_GB2312" w:hAnsi="仿宋" w:eastAsia="仿宋_GB2312" w:cs="Times New Roman"/>
                <w:kern w:val="0"/>
                <w:sz w:val="24"/>
                <w:szCs w:val="24"/>
                <w:lang w:eastAsia="zh-CN"/>
              </w:rPr>
            </w:pPr>
          </w:p>
        </w:tc>
        <w:tc>
          <w:tcPr>
            <w:tcW w:w="1538" w:type="pct"/>
            <w:vMerge w:val="continue"/>
            <w:tcBorders>
              <w:tl2br w:val="nil"/>
              <w:tr2bl w:val="nil"/>
            </w:tcBorders>
            <w:noWrap w:val="0"/>
            <w:vAlign w:val="center"/>
          </w:tcPr>
          <w:p>
            <w:pPr>
              <w:widowControl/>
              <w:rPr>
                <w:rFonts w:ascii="仿宋_GB2312" w:hAnsi="仿宋"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trPr>
        <w:tc>
          <w:tcPr>
            <w:tcW w:w="311" w:type="pct"/>
            <w:tcBorders>
              <w:tl2br w:val="nil"/>
              <w:tr2bl w:val="nil"/>
            </w:tcBorders>
            <w:noWrap w:val="0"/>
            <w:vAlign w:val="center"/>
          </w:tcPr>
          <w:p>
            <w:pPr>
              <w:widowControl/>
              <w:jc w:val="center"/>
              <w:rPr>
                <w:rFonts w:hint="default" w:ascii="仿宋_GB2312" w:hAnsi="仿宋" w:eastAsia="仿宋_GB2312" w:cs="Times New Roman"/>
                <w:kern w:val="0"/>
                <w:sz w:val="24"/>
                <w:szCs w:val="24"/>
                <w:lang w:val="en-US" w:eastAsia="zh-CN"/>
              </w:rPr>
            </w:pPr>
            <w:r>
              <w:rPr>
                <w:rFonts w:hint="eastAsia" w:ascii="仿宋_GB2312" w:hAnsi="仿宋" w:eastAsia="仿宋_GB2312" w:cs="Times New Roman"/>
                <w:kern w:val="0"/>
                <w:sz w:val="24"/>
                <w:szCs w:val="24"/>
                <w:lang w:val="en-US" w:eastAsia="zh-CN"/>
              </w:rPr>
              <w:t>10</w:t>
            </w:r>
          </w:p>
        </w:tc>
        <w:tc>
          <w:tcPr>
            <w:tcW w:w="627" w:type="pc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司法机关和行政执法部门开展的涉诉、抵债或罚没资产处置</w:t>
            </w:r>
          </w:p>
        </w:tc>
        <w:tc>
          <w:tcPr>
            <w:tcW w:w="1688" w:type="pc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司法机关和行政执法部门开展的涉诉、抵债或罚没资产处置</w:t>
            </w:r>
          </w:p>
        </w:tc>
        <w:tc>
          <w:tcPr>
            <w:tcW w:w="834" w:type="pct"/>
            <w:tcBorders>
              <w:tl2br w:val="nil"/>
              <w:tr2bl w:val="nil"/>
            </w:tcBorders>
            <w:noWrap w:val="0"/>
            <w:vAlign w:val="center"/>
          </w:tcPr>
          <w:p>
            <w:pPr>
              <w:widowControl/>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lang w:eastAsia="zh-CN"/>
              </w:rPr>
              <w:t>财政部门</w:t>
            </w:r>
          </w:p>
        </w:tc>
        <w:tc>
          <w:tcPr>
            <w:tcW w:w="1538" w:type="pc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lang w:eastAsia="zh-CN"/>
              </w:rPr>
              <w:t>执行《罚没财物管理办法》（财税〔</w:t>
            </w:r>
            <w:r>
              <w:rPr>
                <w:rFonts w:hint="eastAsia" w:ascii="仿宋_GB2312" w:hAnsi="仿宋" w:eastAsia="仿宋_GB2312" w:cs="Times New Roman"/>
                <w:kern w:val="0"/>
                <w:sz w:val="24"/>
                <w:szCs w:val="24"/>
                <w:lang w:val="en-US" w:eastAsia="zh-CN"/>
              </w:rPr>
              <w:t>2020</w:t>
            </w:r>
            <w:r>
              <w:rPr>
                <w:rFonts w:hint="eastAsia" w:ascii="仿宋_GB2312" w:hAnsi="仿宋" w:eastAsia="仿宋_GB2312" w:cs="Times New Roman"/>
                <w:kern w:val="0"/>
                <w:sz w:val="24"/>
                <w:szCs w:val="24"/>
                <w:lang w:eastAsia="zh-CN"/>
              </w:rPr>
              <w:t>〕</w:t>
            </w:r>
            <w:r>
              <w:rPr>
                <w:rFonts w:hint="eastAsia" w:ascii="仿宋_GB2312" w:hAnsi="仿宋" w:eastAsia="仿宋_GB2312" w:cs="Times New Roman"/>
                <w:kern w:val="0"/>
                <w:sz w:val="24"/>
                <w:szCs w:val="24"/>
                <w:lang w:val="en-US" w:eastAsia="zh-CN"/>
              </w:rPr>
              <w:t>54号</w:t>
            </w:r>
            <w:r>
              <w:rPr>
                <w:rFonts w:hint="eastAsia" w:ascii="仿宋_GB2312" w:hAnsi="仿宋" w:eastAsia="仿宋_GB2312" w:cs="Times New Roman"/>
                <w:kern w:val="0"/>
                <w:sz w:val="24"/>
                <w:szCs w:val="24"/>
                <w:lang w:eastAsia="zh-CN"/>
              </w:rPr>
              <w:t>）。</w:t>
            </w:r>
            <w:r>
              <w:rPr>
                <w:rFonts w:hint="eastAsia" w:ascii="仿宋_GB2312" w:hAnsi="仿宋" w:eastAsia="仿宋_GB2312" w:cs="Times New Roman"/>
                <w:kern w:val="0"/>
                <w:sz w:val="24"/>
                <w:szCs w:val="24"/>
              </w:rPr>
              <w:t>全部（鲜活商品除外）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trPr>
        <w:tc>
          <w:tcPr>
            <w:tcW w:w="311" w:type="pct"/>
            <w:vMerge w:val="restart"/>
            <w:tcBorders>
              <w:tl2br w:val="nil"/>
              <w:tr2bl w:val="nil"/>
            </w:tcBorders>
            <w:noWrap w:val="0"/>
            <w:vAlign w:val="center"/>
          </w:tcPr>
          <w:p>
            <w:pPr>
              <w:widowControl/>
              <w:jc w:val="center"/>
              <w:rPr>
                <w:rFonts w:hint="default" w:ascii="仿宋_GB2312" w:hAnsi="仿宋" w:eastAsia="仿宋_GB2312" w:cs="Times New Roman"/>
                <w:kern w:val="0"/>
                <w:sz w:val="24"/>
                <w:szCs w:val="24"/>
                <w:lang w:val="en-US" w:eastAsia="zh-CN"/>
              </w:rPr>
            </w:pPr>
            <w:r>
              <w:rPr>
                <w:rFonts w:hint="eastAsia" w:ascii="仿宋_GB2312" w:hAnsi="仿宋" w:eastAsia="仿宋_GB2312" w:cs="Times New Roman"/>
                <w:kern w:val="0"/>
                <w:sz w:val="24"/>
                <w:szCs w:val="24"/>
                <w:lang w:val="en-US" w:eastAsia="zh-CN"/>
              </w:rPr>
              <w:t>11</w:t>
            </w:r>
          </w:p>
        </w:tc>
        <w:tc>
          <w:tcPr>
            <w:tcW w:w="627" w:type="pct"/>
            <w:vMerge w:val="restar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rPr>
              <w:t>医用耗材和医用设备采购</w:t>
            </w:r>
          </w:p>
        </w:tc>
        <w:tc>
          <w:tcPr>
            <w:tcW w:w="1688" w:type="pc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rPr>
              <w:t>公立医疗卫生机构药品和医用耗材采购</w:t>
            </w:r>
          </w:p>
        </w:tc>
        <w:tc>
          <w:tcPr>
            <w:tcW w:w="834" w:type="pct"/>
            <w:vMerge w:val="restart"/>
            <w:tcBorders>
              <w:tl2br w:val="nil"/>
              <w:tr2bl w:val="nil"/>
            </w:tcBorders>
            <w:noWrap w:val="0"/>
            <w:vAlign w:val="center"/>
          </w:tcPr>
          <w:p>
            <w:pPr>
              <w:widowControl/>
              <w:jc w:val="center"/>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医保部门</w:t>
            </w:r>
          </w:p>
        </w:tc>
        <w:tc>
          <w:tcPr>
            <w:tcW w:w="1538" w:type="pc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rPr>
              <w:t>集中采购或带量采购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trPr>
        <w:tc>
          <w:tcPr>
            <w:tcW w:w="311" w:type="pct"/>
            <w:vMerge w:val="continue"/>
            <w:tcBorders>
              <w:tl2br w:val="nil"/>
              <w:tr2bl w:val="nil"/>
            </w:tcBorders>
            <w:noWrap w:val="0"/>
            <w:vAlign w:val="center"/>
          </w:tcPr>
          <w:p>
            <w:pPr>
              <w:widowControl/>
              <w:jc w:val="center"/>
              <w:rPr>
                <w:rFonts w:hint="eastAsia" w:ascii="仿宋_GB2312" w:hAnsi="仿宋" w:eastAsia="仿宋_GB2312" w:cs="Times New Roman"/>
                <w:kern w:val="0"/>
                <w:sz w:val="24"/>
                <w:szCs w:val="24"/>
                <w:lang w:val="en-US" w:eastAsia="zh-CN"/>
              </w:rPr>
            </w:pPr>
          </w:p>
        </w:tc>
        <w:tc>
          <w:tcPr>
            <w:tcW w:w="627" w:type="pct"/>
            <w:vMerge w:val="continue"/>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p>
        </w:tc>
        <w:tc>
          <w:tcPr>
            <w:tcW w:w="1688" w:type="pc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rPr>
              <w:t>公立医疗卫生机构医用设备采购</w:t>
            </w:r>
          </w:p>
        </w:tc>
        <w:tc>
          <w:tcPr>
            <w:tcW w:w="834" w:type="pct"/>
            <w:vMerge w:val="continue"/>
            <w:tcBorders>
              <w:tl2br w:val="nil"/>
              <w:tr2bl w:val="nil"/>
            </w:tcBorders>
            <w:noWrap w:val="0"/>
            <w:vAlign w:val="center"/>
          </w:tcPr>
          <w:p>
            <w:pPr>
              <w:widowControl/>
              <w:jc w:val="center"/>
              <w:rPr>
                <w:rFonts w:hint="eastAsia" w:ascii="仿宋_GB2312" w:hAnsi="仿宋" w:eastAsia="仿宋_GB2312" w:cs="Times New Roman"/>
                <w:kern w:val="0"/>
                <w:sz w:val="24"/>
                <w:szCs w:val="24"/>
                <w:lang w:eastAsia="zh-CN"/>
              </w:rPr>
            </w:pPr>
          </w:p>
        </w:tc>
        <w:tc>
          <w:tcPr>
            <w:tcW w:w="1538" w:type="pc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rPr>
              <w:t>单项或批量预算金额30万元及以上(大型医用设备按照省有关规定执行)</w:t>
            </w:r>
            <w:r>
              <w:rPr>
                <w:rFonts w:hint="eastAsia" w:ascii="仿宋_GB2312" w:hAnsi="仿宋" w:eastAsia="仿宋_GB2312" w:cs="Times New Roman"/>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1" w:hRule="atLeast"/>
        </w:trPr>
        <w:tc>
          <w:tcPr>
            <w:tcW w:w="311" w:type="pct"/>
            <w:vMerge w:val="restart"/>
            <w:tcBorders>
              <w:tl2br w:val="nil"/>
              <w:tr2bl w:val="nil"/>
            </w:tcBorders>
            <w:noWrap w:val="0"/>
            <w:vAlign w:val="center"/>
          </w:tcPr>
          <w:p>
            <w:pPr>
              <w:widowControl/>
              <w:jc w:val="center"/>
              <w:rPr>
                <w:rFonts w:hint="default" w:ascii="仿宋_GB2312" w:hAnsi="仿宋" w:eastAsia="仿宋_GB2312" w:cs="Times New Roman"/>
                <w:kern w:val="0"/>
                <w:sz w:val="24"/>
                <w:szCs w:val="24"/>
                <w:lang w:val="en-US" w:eastAsia="zh-CN"/>
              </w:rPr>
            </w:pPr>
            <w:r>
              <w:rPr>
                <w:rFonts w:hint="eastAsia" w:ascii="仿宋_GB2312" w:hAnsi="仿宋" w:eastAsia="仿宋_GB2312" w:cs="Times New Roman"/>
                <w:kern w:val="0"/>
                <w:sz w:val="24"/>
                <w:szCs w:val="24"/>
                <w:lang w:val="en-US" w:eastAsia="zh-CN"/>
              </w:rPr>
              <w:t>12</w:t>
            </w:r>
          </w:p>
        </w:tc>
        <w:tc>
          <w:tcPr>
            <w:tcW w:w="627" w:type="pct"/>
            <w:vMerge w:val="restar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其他</w:t>
            </w:r>
          </w:p>
        </w:tc>
        <w:tc>
          <w:tcPr>
            <w:tcW w:w="1688" w:type="pc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lang w:eastAsia="zh-CN"/>
              </w:rPr>
              <w:t>新建</w:t>
            </w:r>
            <w:r>
              <w:rPr>
                <w:rFonts w:hint="eastAsia" w:ascii="仿宋_GB2312" w:hAnsi="仿宋" w:eastAsia="仿宋_GB2312" w:cs="Times New Roman"/>
                <w:kern w:val="0"/>
                <w:sz w:val="24"/>
                <w:szCs w:val="24"/>
              </w:rPr>
              <w:t>小区前期物业管理</w:t>
            </w:r>
          </w:p>
        </w:tc>
        <w:tc>
          <w:tcPr>
            <w:tcW w:w="834" w:type="pct"/>
            <w:tcBorders>
              <w:tl2br w:val="nil"/>
              <w:tr2bl w:val="nil"/>
            </w:tcBorders>
            <w:noWrap w:val="0"/>
            <w:vAlign w:val="center"/>
          </w:tcPr>
          <w:p>
            <w:pPr>
              <w:widowControl/>
              <w:jc w:val="center"/>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住建部门</w:t>
            </w:r>
          </w:p>
        </w:tc>
        <w:tc>
          <w:tcPr>
            <w:tcW w:w="1538" w:type="pct"/>
            <w:tcBorders>
              <w:tl2br w:val="nil"/>
              <w:tr2bl w:val="nil"/>
            </w:tcBorders>
            <w:noWrap w:val="0"/>
            <w:vAlign w:val="center"/>
          </w:tcPr>
          <w:p>
            <w:pPr>
              <w:widowControl/>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新开发建筑面积5万平方米以上的住宅项目、建筑面积2万平方米以上的非住宅项目</w:t>
            </w:r>
            <w:r>
              <w:rPr>
                <w:rFonts w:hint="eastAsia" w:ascii="仿宋_GB2312" w:hAnsi="仿宋" w:eastAsia="仿宋_GB2312" w:cs="Times New Roman"/>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trPr>
        <w:tc>
          <w:tcPr>
            <w:tcW w:w="311" w:type="pct"/>
            <w:vMerge w:val="continue"/>
            <w:tcBorders>
              <w:tl2br w:val="nil"/>
              <w:tr2bl w:val="nil"/>
            </w:tcBorders>
            <w:noWrap w:val="0"/>
            <w:vAlign w:val="center"/>
          </w:tcPr>
          <w:p>
            <w:pPr>
              <w:widowControl/>
              <w:jc w:val="center"/>
              <w:rPr>
                <w:rFonts w:ascii="仿宋_GB2312" w:hAnsi="仿宋" w:eastAsia="仿宋_GB2312" w:cs="Times New Roman"/>
                <w:kern w:val="0"/>
                <w:sz w:val="24"/>
                <w:szCs w:val="24"/>
              </w:rPr>
            </w:pPr>
          </w:p>
        </w:tc>
        <w:tc>
          <w:tcPr>
            <w:tcW w:w="627" w:type="pct"/>
            <w:vMerge w:val="continue"/>
            <w:tcBorders>
              <w:tl2br w:val="nil"/>
              <w:tr2bl w:val="nil"/>
            </w:tcBorders>
            <w:noWrap w:val="0"/>
            <w:vAlign w:val="center"/>
          </w:tcPr>
          <w:p>
            <w:pPr>
              <w:widowControl/>
              <w:rPr>
                <w:rFonts w:ascii="仿宋_GB2312" w:hAnsi="仿宋" w:eastAsia="仿宋_GB2312" w:cs="Times New Roman"/>
                <w:kern w:val="0"/>
                <w:sz w:val="24"/>
                <w:szCs w:val="24"/>
              </w:rPr>
            </w:pPr>
          </w:p>
        </w:tc>
        <w:tc>
          <w:tcPr>
            <w:tcW w:w="1688" w:type="pct"/>
            <w:tcBorders>
              <w:tl2br w:val="nil"/>
              <w:tr2bl w:val="nil"/>
            </w:tcBorders>
            <w:noWrap w:val="0"/>
            <w:vAlign w:val="center"/>
          </w:tcPr>
          <w:p>
            <w:pPr>
              <w:widowControl/>
              <w:rPr>
                <w:rFonts w:hint="eastAsia" w:ascii="Calibri" w:hAnsi="Calibri" w:eastAsia="宋体" w:cs="Times New Roman"/>
                <w:kern w:val="2"/>
                <w:sz w:val="21"/>
                <w:szCs w:val="22"/>
                <w:lang w:val="en-US" w:eastAsia="zh-CN" w:bidi="ar-SA"/>
              </w:rPr>
            </w:pPr>
            <w:r>
              <w:rPr>
                <w:rFonts w:hint="eastAsia" w:ascii="仿宋_GB2312" w:hAnsi="仿宋" w:eastAsia="仿宋_GB2312" w:cs="Times New Roman"/>
                <w:kern w:val="0"/>
                <w:sz w:val="24"/>
                <w:szCs w:val="24"/>
                <w:lang w:eastAsia="zh-CN"/>
              </w:rPr>
              <w:t>生态保护修复工程余量资源交易</w:t>
            </w:r>
          </w:p>
        </w:tc>
        <w:tc>
          <w:tcPr>
            <w:tcW w:w="834" w:type="pct"/>
            <w:tcBorders>
              <w:tl2br w:val="nil"/>
              <w:tr2bl w:val="nil"/>
            </w:tcBorders>
            <w:noWrap w:val="0"/>
            <w:vAlign w:val="center"/>
          </w:tcPr>
          <w:p>
            <w:pPr>
              <w:widowControl/>
              <w:jc w:val="center"/>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lang w:eastAsia="zh-CN"/>
              </w:rPr>
              <w:t>自规部门</w:t>
            </w:r>
          </w:p>
        </w:tc>
        <w:tc>
          <w:tcPr>
            <w:tcW w:w="1538" w:type="pc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311" w:type="pct"/>
            <w:tcBorders>
              <w:tl2br w:val="nil"/>
              <w:tr2bl w:val="nil"/>
            </w:tcBorders>
            <w:noWrap w:val="0"/>
            <w:vAlign w:val="center"/>
          </w:tcPr>
          <w:p>
            <w:pPr>
              <w:widowControl/>
              <w:jc w:val="center"/>
              <w:rPr>
                <w:rFonts w:hint="default" w:ascii="仿宋_GB2312" w:hAnsi="仿宋" w:eastAsia="仿宋_GB2312" w:cs="Times New Roman"/>
                <w:kern w:val="0"/>
                <w:sz w:val="24"/>
                <w:szCs w:val="24"/>
                <w:lang w:val="en-US" w:eastAsia="zh-CN"/>
              </w:rPr>
            </w:pPr>
            <w:r>
              <w:rPr>
                <w:rFonts w:hint="eastAsia" w:ascii="仿宋_GB2312" w:hAnsi="仿宋" w:eastAsia="仿宋_GB2312" w:cs="Times New Roman"/>
                <w:kern w:val="0"/>
                <w:sz w:val="24"/>
                <w:szCs w:val="24"/>
                <w:lang w:val="en-US" w:eastAsia="zh-CN"/>
              </w:rPr>
              <w:t>13</w:t>
            </w:r>
          </w:p>
        </w:tc>
        <w:tc>
          <w:tcPr>
            <w:tcW w:w="627" w:type="pct"/>
            <w:tcBorders>
              <w:tl2br w:val="nil"/>
              <w:tr2bl w:val="nil"/>
            </w:tcBorders>
            <w:noWrap w:val="0"/>
            <w:vAlign w:val="center"/>
          </w:tcPr>
          <w:p>
            <w:pPr>
              <w:widowControl/>
              <w:rPr>
                <w:rFonts w:ascii="仿宋_GB2312" w:hAnsi="仿宋" w:eastAsia="仿宋_GB2312" w:cs="Times New Roman"/>
                <w:kern w:val="0"/>
                <w:sz w:val="24"/>
                <w:szCs w:val="24"/>
              </w:rPr>
            </w:pPr>
          </w:p>
        </w:tc>
        <w:tc>
          <w:tcPr>
            <w:tcW w:w="1688" w:type="pc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rPr>
              <w:t>碳排放权、排污权、用能权等法律法规、市级及以上文件规定应进场交易的各类公共资源项目</w:t>
            </w:r>
          </w:p>
        </w:tc>
        <w:tc>
          <w:tcPr>
            <w:tcW w:w="834" w:type="pct"/>
            <w:tcBorders>
              <w:tl2br w:val="nil"/>
              <w:tr2bl w:val="nil"/>
            </w:tcBorders>
            <w:noWrap w:val="0"/>
            <w:vAlign w:val="center"/>
          </w:tcPr>
          <w:p>
            <w:pPr>
              <w:widowControl/>
              <w:jc w:val="center"/>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lang w:eastAsia="zh-CN"/>
              </w:rPr>
              <w:t>生态环境部门、发展改革部门等</w:t>
            </w:r>
          </w:p>
        </w:tc>
        <w:tc>
          <w:tcPr>
            <w:tcW w:w="1538" w:type="pct"/>
            <w:tcBorders>
              <w:tl2br w:val="nil"/>
              <w:tr2bl w:val="nil"/>
            </w:tcBorders>
            <w:noWrap w:val="0"/>
            <w:vAlign w:val="center"/>
          </w:tcPr>
          <w:p>
            <w:pPr>
              <w:widowControl/>
              <w:rPr>
                <w:rFonts w:hint="eastAsia" w:ascii="仿宋_GB2312" w:hAnsi="仿宋" w:eastAsia="仿宋_GB2312" w:cs="Times New Roman"/>
                <w:kern w:val="0"/>
                <w:sz w:val="24"/>
                <w:szCs w:val="24"/>
                <w:lang w:eastAsia="zh-CN"/>
              </w:rPr>
            </w:pPr>
            <w:r>
              <w:rPr>
                <w:rFonts w:hint="eastAsia" w:ascii="仿宋_GB2312" w:hAnsi="仿宋" w:eastAsia="仿宋_GB2312" w:cs="Times New Roman"/>
                <w:kern w:val="0"/>
                <w:sz w:val="24"/>
                <w:szCs w:val="24"/>
              </w:rPr>
              <w:t>全部</w:t>
            </w:r>
          </w:p>
        </w:tc>
      </w:tr>
    </w:tbl>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230F5"/>
    <w:multiLevelType w:val="singleLevel"/>
    <w:tmpl w:val="03E230F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mNjZWQwMzdmNTA4ODdmMWM2ZDllZmZiMjE2NzYifQ=="/>
  </w:docVars>
  <w:rsids>
    <w:rsidRoot w:val="1B0F61E2"/>
    <w:rsid w:val="1B0F6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2023-12-11T08:35:00Z</dcterms:created>
  <dc:creator>叮叮当当 葫芦娃</dc:creator>
  <cp:lastModifiedBy>叮叮当当 葫芦娃</cp:lastModifiedBy>
  <dcterms:modified xsi:type="dcterms:W3CDTF">2023-12-11T08:37:03Z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EB5EA79E7FA4443C9130D79867081EEC_11</vt:lpwstr>
  </property>
</Properties>
</file>