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66" w:line="560" w:lineRule="exact"/>
        <w:jc w:val="center"/>
        <w:rPr>
          <w:rFonts w:hint="eastAsia" w:ascii="宋体" w:hAnsi="宋体" w:cs="方正小标宋简体"/>
          <w:b/>
          <w:color w:val="333333"/>
          <w:kern w:val="0"/>
          <w:sz w:val="44"/>
          <w:szCs w:val="44"/>
          <w:shd w:val="clear" w:color="auto" w:fill="FFFFFF"/>
        </w:rPr>
      </w:pPr>
    </w:p>
    <w:p>
      <w:pPr>
        <w:widowControl/>
        <w:spacing w:after="166" w:line="560" w:lineRule="exact"/>
        <w:jc w:val="center"/>
        <w:rPr>
          <w:rFonts w:hint="eastAsia" w:ascii="宋体" w:hAnsi="宋体" w:cs="方正小标宋简体"/>
          <w:b/>
          <w:color w:val="333333"/>
          <w:kern w:val="0"/>
          <w:sz w:val="44"/>
          <w:szCs w:val="44"/>
          <w:shd w:val="clear" w:color="auto" w:fill="FFFFFF"/>
        </w:rPr>
      </w:pPr>
    </w:p>
    <w:p>
      <w:pPr>
        <w:widowControl/>
        <w:spacing w:after="166" w:line="560" w:lineRule="exact"/>
        <w:jc w:val="both"/>
        <w:rPr>
          <w:rFonts w:hint="eastAsia" w:ascii="宋体" w:hAnsi="宋体" w:cs="方正小标宋简体"/>
          <w:b/>
          <w:color w:val="333333"/>
          <w:kern w:val="0"/>
          <w:sz w:val="44"/>
          <w:szCs w:val="44"/>
          <w:shd w:val="clear" w:color="auto" w:fill="FFFFFF"/>
        </w:rPr>
      </w:pPr>
    </w:p>
    <w:p>
      <w:pPr>
        <w:widowControl/>
        <w:spacing w:after="166" w:line="560" w:lineRule="exact"/>
        <w:ind w:firstLine="618"/>
        <w:jc w:val="center"/>
        <w:rPr>
          <w:rFonts w:hint="eastAsia" w:ascii="仿宋_GB2312" w:hAnsi="仿宋" w:eastAsia="仿宋_GB2312" w:cs="仿宋"/>
          <w:b/>
          <w:color w:val="000000"/>
          <w:kern w:val="0"/>
          <w:sz w:val="32"/>
          <w:szCs w:val="32"/>
          <w:shd w:val="clear" w:color="auto" w:fill="FFFFFF"/>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关于修订《滁州市公共资源交易竞争主体及相关人员不良行为记录及披露管理</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暂行办法》的通知</w:t>
      </w:r>
    </w:p>
    <w:p>
      <w:pPr>
        <w:spacing w:line="560" w:lineRule="exact"/>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各县、市、区公管局，市局各科室、交易中心：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建立健全滁州市公共资源交易市场信用体系，进一步规范竞争主体交易活动，依据《滁州市公共资源交易活动管理办法（试行）》等相关规定，结合我市实际，修订《滁州市公共资源交易竞争主体及相关人员不良行为记录及披露管理暂行办法》，请遵照执行。</w:t>
      </w:r>
    </w:p>
    <w:p>
      <w:pPr>
        <w:spacing w:line="560" w:lineRule="exact"/>
        <w:ind w:firstLine="640"/>
        <w:rPr>
          <w:rFonts w:ascii="仿宋_GB2312" w:hAnsi="仿宋_GB2312" w:eastAsia="仿宋_GB2312" w:cs="仿宋_GB2312"/>
          <w:sz w:val="32"/>
          <w:szCs w:val="32"/>
        </w:rPr>
      </w:pPr>
    </w:p>
    <w:p>
      <w:pPr>
        <w:pStyle w:val="2"/>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0" w:firstLineChars="0"/>
        <w:jc w:val="righ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月16日</w:t>
      </w:r>
    </w:p>
    <w:p>
      <w:pPr>
        <w:spacing w:line="560" w:lineRule="exact"/>
        <w:jc w:val="both"/>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滁州市公共资源交易竞争主体及相关人员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不良行为记录及披露管理暂行办法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left"/>
        <w:textAlignment w:val="auto"/>
        <w:outlineLvl w:val="9"/>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为建立健全滁州市公共资源交易市场信用体系，进一步规范竞争主体交易活动，依据《滁州市公共资源交易活动管理办法（试行）》等相关规定，结合我市实际，制定本办法。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在我市行政区域内参加公共资源交易活动的竞争主体及相关人员不良行为的记录及披露管理，适用本办法。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本办法所称竞争主体是指参加公共资源交易活动的投标人、供应商和竞买人等市场主体；相关人员是指前述竞争主体中投标人、供应商的直接负责的主管人员和其他直接责任人员以及其他相关人员。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不良行为是指竞争主体及相关人员在本市行政区域内进行的工程建设、政府采购、国有产权交易、国有建设用地使用权和矿业权出让、农村产权交易等公共资源交易活动中违反法律、法规、规章规定以及其他扰乱市场秩序的行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滁州市公共资源交易监督管理局负责建立竞争主体及相关人员不良行为档案，实行统一监督管理。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第四条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不良行为记录实行计分制，认定标准和记录分数详见附件。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不良行为的认定及记录程序：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告知。</w:t>
      </w:r>
      <w:r>
        <w:rPr>
          <w:rFonts w:hint="eastAsia" w:ascii="仿宋_GB2312" w:hAnsi="仿宋_GB2312" w:eastAsia="仿宋_GB2312" w:cs="仿宋_GB2312"/>
          <w:sz w:val="32"/>
          <w:szCs w:val="32"/>
        </w:rPr>
        <w:t>依据本办法对竞争主体及相关人员违反法律、法规、规章规定以及其他扰乱市场秩序的行为进行书面告知，竞争主体及相关人员如有异议，应当在3个工作日内书面提出，并提供相关证据材料；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2、认定。</w:t>
      </w:r>
      <w:r>
        <w:rPr>
          <w:rFonts w:hint="eastAsia" w:ascii="仿宋_GB2312" w:hAnsi="仿宋_GB2312" w:eastAsia="仿宋_GB2312" w:cs="仿宋_GB2312"/>
          <w:sz w:val="32"/>
          <w:szCs w:val="32"/>
        </w:rPr>
        <w:t>依据本办法相关规定，将认定意见报滁州市公共资源交易监督管理局批准后，形成不良行为认定书；</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3、记录。</w:t>
      </w:r>
      <w:r>
        <w:rPr>
          <w:rFonts w:hint="eastAsia" w:ascii="仿宋_GB2312" w:hAnsi="仿宋_GB2312" w:eastAsia="仿宋_GB2312" w:cs="仿宋_GB2312"/>
          <w:sz w:val="32"/>
          <w:szCs w:val="32"/>
        </w:rPr>
        <w:t>应当在不良行为认定书下发后的2个工作日之内记入不良行为档案。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竞争主体及相关人员不良行为在记录时应同步进行信息披露，披露媒介为滁州市公共资源交易中心网站等媒体，披露期满后不良行为记录分数清零。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竞争主体及相关人员不良行为记录分数1分的，信息披露期为1个月;每增加1分，信息披露期增加1个月。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竞争主体及相关人员在一年内（连续12个月）出现二次以上（含二次）信息披露的，第二次（及以上）信息披露期间最短5个月。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b w:val="0"/>
          <w:bCs/>
          <w:sz w:val="32"/>
          <w:szCs w:val="32"/>
        </w:rPr>
        <w:t>第七条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除本办法第九条列举的情形外，竞争主体及相关人员按照要求消除不良影响、重塑良好信用的，可申请不良行为信息修复。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信息修复的，由</w:t>
      </w:r>
      <w:r>
        <w:rPr>
          <w:rFonts w:hint="eastAsia" w:ascii="仿宋_GB2312" w:hAnsi="仿宋_GB2312" w:eastAsia="仿宋_GB2312" w:cs="仿宋_GB2312"/>
          <w:sz w:val="32"/>
          <w:szCs w:val="32"/>
        </w:rPr>
        <w:t>做出</w:t>
      </w:r>
      <w:r>
        <w:rPr>
          <w:rFonts w:ascii="仿宋_GB2312" w:hAnsi="仿宋_GB2312" w:eastAsia="仿宋_GB2312" w:cs="仿宋_GB2312"/>
          <w:sz w:val="32"/>
          <w:szCs w:val="32"/>
        </w:rPr>
        <w:t>不良行为认定的</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确定披露期</w:t>
      </w:r>
      <w:r>
        <w:rPr>
          <w:rFonts w:hint="eastAsia" w:ascii="仿宋_GB2312" w:hAnsi="仿宋_GB2312" w:eastAsia="仿宋_GB2312" w:cs="仿宋_GB2312"/>
          <w:sz w:val="32"/>
          <w:szCs w:val="32"/>
        </w:rPr>
        <w:t>缩短</w:t>
      </w:r>
      <w:r>
        <w:rPr>
          <w:rFonts w:ascii="仿宋_GB2312" w:hAnsi="仿宋_GB2312" w:eastAsia="仿宋_GB2312" w:cs="仿宋_GB2312"/>
          <w:sz w:val="32"/>
          <w:szCs w:val="32"/>
        </w:rPr>
        <w:t>时间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不良</w:t>
      </w:r>
      <w:r>
        <w:rPr>
          <w:rFonts w:hint="eastAsia" w:ascii="仿宋_GB2312" w:hAnsi="仿宋_GB2312" w:eastAsia="仿宋_GB2312" w:cs="仿宋_GB2312"/>
          <w:sz w:val="32"/>
          <w:szCs w:val="32"/>
        </w:rPr>
        <w:t>行为</w:t>
      </w:r>
      <w:r>
        <w:rPr>
          <w:rFonts w:ascii="仿宋_GB2312" w:hAnsi="仿宋_GB2312" w:eastAsia="仿宋_GB2312" w:cs="仿宋_GB2312"/>
          <w:sz w:val="32"/>
          <w:szCs w:val="32"/>
        </w:rPr>
        <w:t>记录</w:t>
      </w:r>
      <w:r>
        <w:rPr>
          <w:rFonts w:hint="eastAsia" w:ascii="仿宋_GB2312" w:hAnsi="仿宋_GB2312" w:eastAsia="仿宋_GB2312" w:cs="仿宋_GB2312"/>
          <w:sz w:val="32"/>
          <w:szCs w:val="32"/>
        </w:rPr>
        <w:t>5分以内</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（含5分），申请修复</w:t>
      </w:r>
      <w:r>
        <w:rPr>
          <w:rFonts w:ascii="仿宋_GB2312" w:hAnsi="仿宋_GB2312" w:eastAsia="仿宋_GB2312" w:cs="仿宋_GB2312"/>
          <w:sz w:val="32"/>
          <w:szCs w:val="32"/>
        </w:rPr>
        <w:t>后，披露期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2个</w:t>
      </w:r>
      <w:r>
        <w:rPr>
          <w:rFonts w:ascii="仿宋_GB2312" w:hAnsi="仿宋_GB2312" w:eastAsia="仿宋_GB2312" w:cs="仿宋_GB2312"/>
          <w:sz w:val="32"/>
          <w:szCs w:val="32"/>
        </w:rPr>
        <w:t>月；不良行为记录</w:t>
      </w:r>
      <w:r>
        <w:rPr>
          <w:rFonts w:hint="eastAsia" w:ascii="仿宋_GB2312" w:hAnsi="仿宋_GB2312" w:eastAsia="仿宋_GB2312" w:cs="仿宋_GB2312"/>
          <w:sz w:val="32"/>
          <w:szCs w:val="32"/>
        </w:rPr>
        <w:t>6分以上</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（含6分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修复</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4个月；不良</w:t>
      </w:r>
      <w:r>
        <w:rPr>
          <w:rFonts w:ascii="仿宋_GB2312" w:hAnsi="仿宋_GB2312" w:eastAsia="仿宋_GB2312" w:cs="仿宋_GB2312"/>
          <w:sz w:val="32"/>
          <w:szCs w:val="32"/>
        </w:rPr>
        <w:t>行为记录</w:t>
      </w:r>
      <w:r>
        <w:rPr>
          <w:rFonts w:hint="eastAsia" w:ascii="仿宋_GB2312" w:hAnsi="仿宋_GB2312" w:eastAsia="仿宋_GB2312" w:cs="仿宋_GB2312"/>
          <w:sz w:val="32"/>
          <w:szCs w:val="32"/>
        </w:rPr>
        <w:t>12分</w:t>
      </w:r>
      <w:r>
        <w:rPr>
          <w:rFonts w:ascii="仿宋_GB2312" w:hAnsi="仿宋_GB2312" w:eastAsia="仿宋_GB2312" w:cs="仿宋_GB2312"/>
          <w:sz w:val="32"/>
          <w:szCs w:val="32"/>
        </w:rPr>
        <w:t>，申请修复后，披露期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6个</w:t>
      </w:r>
      <w:r>
        <w:rPr>
          <w:rFonts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i/>
          <w:iCs/>
          <w:sz w:val="32"/>
          <w:szCs w:val="32"/>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不良行为信息不可修复情形：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1、不良行为记录2分以内（含2分）的，披露期内</w:t>
      </w:r>
      <w:r>
        <w:rPr>
          <w:rFonts w:ascii="仿宋_GB2312" w:hAnsi="仿宋_GB2312" w:eastAsia="仿宋_GB2312" w:cs="仿宋_GB2312"/>
          <w:sz w:val="32"/>
          <w:szCs w:val="32"/>
        </w:rPr>
        <w:t>不可修复，</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记录分</w:t>
      </w:r>
      <w:r>
        <w:rPr>
          <w:rFonts w:hint="eastAsia" w:ascii="仿宋_GB2312" w:hAnsi="仿宋_GB2312" w:eastAsia="仿宋_GB2312" w:cs="仿宋_GB2312"/>
          <w:sz w:val="32"/>
          <w:szCs w:val="32"/>
        </w:rPr>
        <w:t>值对应</w:t>
      </w:r>
      <w:r>
        <w:rPr>
          <w:rFonts w:ascii="仿宋_GB2312" w:hAnsi="仿宋_GB2312" w:eastAsia="仿宋_GB2312" w:cs="仿宋_GB2312"/>
          <w:sz w:val="32"/>
          <w:szCs w:val="32"/>
        </w:rPr>
        <w:t>的披露期</w:t>
      </w:r>
      <w:r>
        <w:rPr>
          <w:rFonts w:hint="eastAsia" w:ascii="仿宋_GB2312" w:hAnsi="仿宋_GB2312" w:eastAsia="仿宋_GB2312" w:cs="仿宋_GB2312"/>
          <w:sz w:val="32"/>
          <w:szCs w:val="32"/>
        </w:rPr>
        <w:t>公示</w:t>
      </w:r>
      <w:r>
        <w:rPr>
          <w:rFonts w:ascii="仿宋_GB2312" w:hAnsi="仿宋_GB2312" w:eastAsia="仿宋_GB2312" w:cs="仿宋_GB2312"/>
          <w:sz w:val="32"/>
          <w:szCs w:val="32"/>
        </w:rPr>
        <w:t>，到期后</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下网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2、二年内（连续</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出现二次以上（含二次）不良行为被滁州市公共资源交易中心网站披露的，第二次（及</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不良行为信息在</w:t>
      </w:r>
      <w:r>
        <w:rPr>
          <w:rFonts w:ascii="仿宋_GB2312" w:hAnsi="仿宋_GB2312" w:eastAsia="仿宋_GB2312" w:cs="仿宋_GB2312"/>
          <w:sz w:val="32"/>
          <w:szCs w:val="32"/>
        </w:rPr>
        <w:t>披露期</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不可修复，</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记录分</w:t>
      </w:r>
      <w:r>
        <w:rPr>
          <w:rFonts w:hint="eastAsia" w:ascii="仿宋_GB2312" w:hAnsi="仿宋_GB2312" w:eastAsia="仿宋_GB2312" w:cs="仿宋_GB2312"/>
          <w:sz w:val="32"/>
          <w:szCs w:val="32"/>
        </w:rPr>
        <w:t>值对应</w:t>
      </w:r>
      <w:r>
        <w:rPr>
          <w:rFonts w:ascii="仿宋_GB2312" w:hAnsi="仿宋_GB2312" w:eastAsia="仿宋_GB2312" w:cs="仿宋_GB2312"/>
          <w:sz w:val="32"/>
          <w:szCs w:val="32"/>
        </w:rPr>
        <w:t>的披露期</w:t>
      </w:r>
      <w:r>
        <w:rPr>
          <w:rFonts w:hint="eastAsia" w:ascii="仿宋_GB2312" w:hAnsi="仿宋_GB2312" w:eastAsia="仿宋_GB2312" w:cs="仿宋_GB2312"/>
          <w:sz w:val="32"/>
          <w:szCs w:val="32"/>
        </w:rPr>
        <w:t>公示</w:t>
      </w:r>
      <w:r>
        <w:rPr>
          <w:rFonts w:ascii="仿宋_GB2312" w:hAnsi="仿宋_GB2312" w:eastAsia="仿宋_GB2312" w:cs="仿宋_GB2312"/>
          <w:sz w:val="32"/>
          <w:szCs w:val="32"/>
        </w:rPr>
        <w:t>，到期后</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下网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第十条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不良行为信息修复程序：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1.竞争主体及相关人员向作出不良行为认定的部门递交修复申请表、信用（不良行为）修复承诺书、身份证明（登记证件）复印件、参加信用培训证明材料、信用报告、罚款缴纳证明等材料；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2.作出不良行为认定的部门审核后，在3个工作日内完成信用修复。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黑体" w:hAnsi="黑体" w:eastAsia="黑体"/>
          <w:sz w:val="32"/>
          <w:szCs w:val="32"/>
        </w:rPr>
        <w:t>第十一条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县（市）区公共资源交易监督管理部门对竞争主体及相关人员不良行为记录及披露管理应按本办法规定遵照执行。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第十二条</w:t>
      </w:r>
      <w:r>
        <w:rPr>
          <w:rFonts w:hint="eastAsia" w:ascii="仿宋_GB2312" w:hAnsi="仿宋_GB2312" w:eastAsia="仿宋_GB2312" w:cs="仿宋_GB2312"/>
          <w:sz w:val="32"/>
          <w:szCs w:val="32"/>
        </w:rPr>
        <w:t xml:space="preserve"> </w:t>
      </w:r>
      <w:bookmarkStart w:id="0" w:name="_Hlk39821253"/>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本办法由滁州市公共资源交易监督管理局负责解释</w:t>
      </w:r>
      <w:bookmarkEnd w:id="0"/>
      <w:r>
        <w:rPr>
          <w:rFonts w:hint="eastAsia" w:ascii="仿宋_GB2312" w:hAnsi="仿宋_GB2312" w:eastAsia="仿宋_GB2312" w:cs="仿宋_GB2312"/>
          <w:sz w:val="32"/>
          <w:szCs w:val="32"/>
        </w:rPr>
        <w:t>，自印发之日起施行，原《办法》同时废止。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附件：滁州市公共资源交易竞争主体及相关人员不良行为认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1468" w:firstLineChars="459"/>
        <w:jc w:val="both"/>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定及记录标准</w:t>
      </w:r>
    </w:p>
    <w:p>
      <w:pPr>
        <w:jc w:val="both"/>
      </w:pPr>
    </w:p>
    <w:p>
      <w:pPr>
        <w:pStyle w:val="2"/>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eastAsia" w:ascii="黑体" w:hAnsi="黑体" w:eastAsia="黑体" w:cs="黑体"/>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eastAsia" w:ascii="黑体" w:hAnsi="黑体" w:eastAsia="黑体" w:cs="黑体"/>
          <w:sz w:val="32"/>
          <w:szCs w:val="32"/>
          <w:lang w:eastAsia="zh-CN"/>
        </w:rPr>
      </w:pPr>
      <w:bookmarkStart w:id="1" w:name="_GoBack"/>
      <w:bookmarkEnd w:id="1"/>
      <w:r>
        <w:rPr>
          <w:rFonts w:hint="eastAsia" w:ascii="黑体" w:hAnsi="黑体" w:eastAsia="黑体" w:cs="黑体"/>
          <w:sz w:val="32"/>
          <w:szCs w:val="32"/>
          <w:lang w:eastAsia="zh-CN"/>
        </w:rPr>
        <w:t>附件</w:t>
      </w:r>
    </w:p>
    <w:tbl>
      <w:tblPr>
        <w:tblStyle w:val="10"/>
        <w:tblW w:w="10320" w:type="dxa"/>
        <w:tblInd w:w="93" w:type="dxa"/>
        <w:tblLayout w:type="fixed"/>
        <w:tblCellMar>
          <w:top w:w="0" w:type="dxa"/>
          <w:left w:w="108" w:type="dxa"/>
          <w:bottom w:w="0" w:type="dxa"/>
          <w:right w:w="108" w:type="dxa"/>
        </w:tblCellMar>
      </w:tblPr>
      <w:tblGrid>
        <w:gridCol w:w="1230"/>
        <w:gridCol w:w="5305"/>
        <w:gridCol w:w="1348"/>
        <w:gridCol w:w="1488"/>
        <w:gridCol w:w="949"/>
      </w:tblGrid>
      <w:tr>
        <w:tblPrEx>
          <w:tblCellMar>
            <w:top w:w="0" w:type="dxa"/>
            <w:left w:w="108" w:type="dxa"/>
            <w:bottom w:w="0" w:type="dxa"/>
            <w:right w:w="108" w:type="dxa"/>
          </w:tblCellMar>
        </w:tblPrEx>
        <w:trPr>
          <w:trHeight w:val="1180" w:hRule="atLeast"/>
        </w:trPr>
        <w:tc>
          <w:tcPr>
            <w:tcW w:w="9371" w:type="dxa"/>
            <w:gridSpan w:val="4"/>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简体" w:hAnsi="方正小标宋简体" w:eastAsia="方正小标宋简体" w:cs="方正小标宋简体"/>
                <w:b/>
                <w:bCs/>
                <w:color w:val="000000"/>
                <w:sz w:val="36"/>
                <w:szCs w:val="36"/>
              </w:rPr>
            </w:pPr>
            <w:r>
              <w:rPr>
                <w:rFonts w:ascii="方正小标宋简体" w:hAnsi="方正小标宋简体" w:eastAsia="方正小标宋简体" w:cs="方正小标宋简体"/>
                <w:b w:val="0"/>
                <w:bCs w:val="0"/>
                <w:color w:val="000000"/>
                <w:kern w:val="0"/>
                <w:sz w:val="44"/>
                <w:szCs w:val="44"/>
                <w:lang w:bidi="ar"/>
              </w:rPr>
              <w:t>滁州市公共资源交易竞争主体及相关人员不良行为认定及记录标准</w:t>
            </w:r>
          </w:p>
        </w:tc>
        <w:tc>
          <w:tcPr>
            <w:tcW w:w="949" w:type="dxa"/>
            <w:tcBorders>
              <w:top w:val="nil"/>
              <w:left w:val="nil"/>
              <w:bottom w:val="nil"/>
              <w:right w:val="nil"/>
            </w:tcBorders>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642"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类型</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认定标准</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记录分数</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kern w:val="0"/>
                <w:sz w:val="22"/>
                <w:lang w:bidi="ar"/>
              </w:rPr>
            </w:pPr>
            <w:r>
              <w:rPr>
                <w:rFonts w:hint="eastAsia" w:ascii="黑体" w:hAnsi="黑体" w:eastAsia="黑体" w:cs="黑体"/>
                <w:b w:val="0"/>
                <w:bCs w:val="0"/>
                <w:color w:val="000000"/>
                <w:kern w:val="0"/>
                <w:sz w:val="22"/>
                <w:lang w:bidi="ar"/>
              </w:rPr>
              <w:t>记录对象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类型</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722"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r>
              <w:rPr>
                <w:rFonts w:hint="eastAsia" w:ascii="仿宋" w:hAnsi="仿宋" w:eastAsia="仿宋" w:cs="仿宋"/>
                <w:b/>
                <w:bCs/>
                <w:color w:val="000000"/>
                <w:sz w:val="22"/>
              </w:rPr>
              <w:t>干扰</w:t>
            </w:r>
            <w:r>
              <w:rPr>
                <w:rFonts w:ascii="仿宋" w:hAnsi="仿宋" w:eastAsia="仿宋" w:cs="仿宋"/>
                <w:b/>
                <w:bCs/>
                <w:color w:val="000000"/>
                <w:sz w:val="22"/>
              </w:rPr>
              <w:t>投标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在投标有效期截止时间前，撤销投标文件的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FF0000"/>
                <w:sz w:val="22"/>
              </w:rPr>
            </w:pPr>
            <w:r>
              <w:rPr>
                <w:rFonts w:hint="eastAsia" w:ascii="仿宋" w:hAnsi="仿宋" w:eastAsia="仿宋" w:cs="仿宋"/>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29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szCs w:val="21"/>
              </w:rPr>
              <w:t>资格预审合格后无正当理由不参与投标的，或者在邀请招标、竞争性谈判、竞争性磋商、单一来源、询价中，竞争主体接受邀请后无正当理由不参与投标的。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kern w:val="0"/>
                <w:sz w:val="22"/>
                <w:lang w:bidi="ar"/>
              </w:rPr>
            </w:pPr>
            <w:r>
              <w:rPr>
                <w:rFonts w:hint="eastAsia" w:ascii="仿宋" w:hAnsi="仿宋" w:eastAsia="仿宋" w:cs="仿宋"/>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14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竞争主体不服从现场工作人员管理，不遵守开标程序，扰乱开标会场秩序，干扰开标正常进行的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28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竞争主体为谋取中标，向项目单位、评标委员会成员及其他相关人员行贿或提供其他不正当利益的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085" w:hRule="atLeast"/>
        </w:trPr>
        <w:tc>
          <w:tcPr>
            <w:tcW w:w="123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b/>
                <w:color w:val="000000"/>
                <w:kern w:val="0"/>
                <w:sz w:val="22"/>
                <w:lang w:bidi="ar"/>
              </w:rPr>
            </w:pPr>
            <w:r>
              <w:rPr>
                <w:rFonts w:hint="eastAsia" w:ascii="仿宋" w:hAnsi="仿宋" w:eastAsia="仿宋" w:cs="仿宋"/>
                <w:b/>
                <w:color w:val="000000"/>
                <w:kern w:val="0"/>
                <w:sz w:val="22"/>
                <w:lang w:bidi="ar"/>
              </w:rPr>
              <w:t>串标或视为串标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竞争主体相互串通投标或者与项目单位串通投标，或者存在视为串通投标情形的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85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3年内2次以上串通投标；</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不同投标人电子投标文件制作机器码、文件创建标识码或造价软件加密锁号等任意一个一致的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12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不同竞争主体填写投标信息时</w:t>
            </w:r>
            <w:r>
              <w:rPr>
                <w:rFonts w:ascii="仿宋" w:hAnsi="仿宋" w:eastAsia="仿宋" w:cs="仿宋"/>
                <w:color w:val="000000"/>
                <w:kern w:val="0"/>
                <w:sz w:val="22"/>
                <w:lang w:bidi="ar"/>
              </w:rPr>
              <w:t>，</w:t>
            </w:r>
            <w:r>
              <w:rPr>
                <w:rFonts w:hint="eastAsia" w:ascii="仿宋" w:hAnsi="仿宋" w:eastAsia="仿宋" w:cs="仿宋"/>
                <w:color w:val="000000"/>
                <w:kern w:val="0"/>
                <w:sz w:val="22"/>
                <w:lang w:bidi="ar"/>
              </w:rPr>
              <w:t>MAC地址一致的或联系人电话信息一致的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8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投标文件中单方面出现其他竞争主体文件资料或企业名称或公章等信息，未被认定为串通投标的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112"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弄虚作假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ascii="仿宋" w:hAnsi="仿宋" w:eastAsia="仿宋" w:cs="仿宋"/>
                <w:color w:val="000000"/>
                <w:sz w:val="22"/>
              </w:rPr>
            </w:pPr>
            <w:r>
              <w:rPr>
                <w:rFonts w:hint="eastAsia" w:ascii="仿宋" w:hAnsi="仿宋" w:eastAsia="仿宋" w:cs="仿宋"/>
                <w:color w:val="000000"/>
                <w:kern w:val="0"/>
                <w:sz w:val="22"/>
                <w:lang w:bidi="ar"/>
              </w:rPr>
              <w:t>投标人以他人名义投标或者以其他方式弄虚作假骗取中标的，或者在监管部门调查过程中提供虚假材料的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888"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sz w:val="22"/>
              </w:rPr>
            </w:pPr>
            <w:r>
              <w:rPr>
                <w:rFonts w:hint="eastAsia" w:ascii="仿宋" w:hAnsi="仿宋" w:eastAsia="仿宋" w:cs="仿宋"/>
                <w:kern w:val="0"/>
                <w:sz w:val="22"/>
                <w:lang w:bidi="ar"/>
              </w:rPr>
              <w:t>三年内二次以上弄虚作假骗取中标的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6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伪造、变造资格、资质证书或者其他许可证件骗取中标；</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9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不签合同</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中标（成交）后无正当理由不与项目单位订立合同，在签订合同时向项目单位提出附加条件，合同的主要条款与交易文件、中标人的投标文件的内容不一致，或者招标人、中标人订立背离合同实质性内容的协议的或者不按照交易文件要求提交履约保证金的且未按规定整改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27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中标（成交）后无正当理由未在规定时间内与项目单位签订合同的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275"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不履约</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s="Times New Roman"/>
                <w:color w:val="000000"/>
                <w:kern w:val="0"/>
                <w:szCs w:val="21"/>
              </w:rPr>
            </w:pPr>
            <w:r>
              <w:rPr>
                <w:rFonts w:hint="eastAsia" w:ascii="仿宋" w:hAnsi="仿宋" w:eastAsia="仿宋"/>
                <w:color w:val="000000"/>
                <w:kern w:val="0"/>
              </w:rPr>
              <w:t>不按交易文件、投标文件以及签订的合同或协议履约，或在项目实施中降低技术、服务标准的,情节一般/严重的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ascii="仿宋" w:hAnsi="仿宋" w:eastAsia="仿宋" w:cs="仿宋"/>
                <w:kern w:val="0"/>
                <w:sz w:val="22"/>
                <w:lang w:bidi="ar"/>
              </w:rPr>
              <w:t>2</w:t>
            </w:r>
            <w:r>
              <w:rPr>
                <w:rFonts w:hint="eastAsia" w:ascii="仿宋" w:hAnsi="仿宋" w:eastAsia="仿宋" w:cs="仿宋"/>
                <w:kern w:val="0"/>
                <w:sz w:val="22"/>
                <w:lang w:bidi="ar"/>
              </w:rPr>
              <w:t>分/</w:t>
            </w:r>
            <w:r>
              <w:rPr>
                <w:rFonts w:ascii="仿宋" w:hAnsi="仿宋" w:eastAsia="仿宋" w:cs="仿宋"/>
                <w:kern w:val="0"/>
                <w:sz w:val="22"/>
                <w:lang w:bidi="ar"/>
              </w:rPr>
              <w:t>5</w:t>
            </w:r>
            <w:r>
              <w:rPr>
                <w:rFonts w:hint="eastAsia" w:ascii="仿宋" w:hAnsi="仿宋" w:eastAsia="仿宋" w:cs="仿宋"/>
                <w:kern w:val="0"/>
                <w:sz w:val="22"/>
                <w:lang w:bidi="ar"/>
              </w:rPr>
              <w:t>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w:t>
            </w:r>
            <w:r>
              <w:rPr>
                <w:rFonts w:ascii="仿宋" w:hAnsi="仿宋" w:eastAsia="仿宋" w:cs="仿宋"/>
                <w:sz w:val="22"/>
              </w:rPr>
              <w:t xml:space="preserve"> </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00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在标后履约检查中，项目经理、技术负责人、项目总监不在岗履职且未履行请假手续的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ascii="仿宋" w:hAnsi="仿宋" w:eastAsia="仿宋" w:cs="仿宋"/>
                <w:color w:val="000000"/>
                <w:kern w:val="0"/>
                <w:sz w:val="22"/>
                <w:lang w:bidi="ar"/>
              </w:rPr>
              <w:t>1</w:t>
            </w:r>
            <w:r>
              <w:rPr>
                <w:rFonts w:hint="eastAsia" w:ascii="仿宋" w:hAnsi="仿宋" w:eastAsia="仿宋" w:cs="仿宋"/>
                <w:color w:val="000000"/>
                <w:kern w:val="0"/>
                <w:sz w:val="22"/>
                <w:lang w:bidi="ar"/>
              </w:rPr>
              <w:t>分/次</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64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对标后履约检查发现问题，经督促整改未按期整改的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ascii="仿宋" w:hAnsi="仿宋" w:eastAsia="仿宋" w:cs="仿宋"/>
                <w:color w:val="000000"/>
                <w:kern w:val="0"/>
                <w:sz w:val="22"/>
                <w:lang w:bidi="ar"/>
              </w:rPr>
              <w:t>2</w:t>
            </w:r>
            <w:r>
              <w:rPr>
                <w:rFonts w:hint="eastAsia" w:ascii="仿宋" w:hAnsi="仿宋" w:eastAsia="仿宋" w:cs="仿宋"/>
                <w:color w:val="000000"/>
                <w:kern w:val="0"/>
                <w:sz w:val="22"/>
                <w:lang w:bidi="ar"/>
              </w:rPr>
              <w:t>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10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b/>
                <w:color w:val="000000"/>
                <w:kern w:val="0"/>
              </w:rPr>
            </w:pPr>
            <w:r>
              <w:rPr>
                <w:rFonts w:hint="eastAsia" w:ascii="仿宋" w:hAnsi="仿宋" w:eastAsia="仿宋"/>
                <w:b/>
                <w:color w:val="000000"/>
                <w:kern w:val="0"/>
              </w:rPr>
              <w:t>不接受</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r>
              <w:rPr>
                <w:rFonts w:hint="eastAsia" w:ascii="仿宋" w:hAnsi="仿宋" w:eastAsia="仿宋"/>
                <w:b/>
                <w:color w:val="000000"/>
                <w:kern w:val="0"/>
              </w:rPr>
              <w:t>监管</w:t>
            </w:r>
          </w:p>
        </w:tc>
        <w:tc>
          <w:tcPr>
            <w:tcW w:w="5305"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在监管</w:t>
            </w:r>
            <w:r>
              <w:rPr>
                <w:rFonts w:ascii="仿宋" w:hAnsi="仿宋" w:eastAsia="仿宋"/>
                <w:color w:val="000000"/>
                <w:kern w:val="0"/>
              </w:rPr>
              <w:t>部门调查过程中，</w:t>
            </w:r>
            <w:r>
              <w:rPr>
                <w:rFonts w:hint="eastAsia" w:ascii="仿宋" w:hAnsi="仿宋" w:eastAsia="仿宋"/>
                <w:color w:val="000000"/>
                <w:kern w:val="0"/>
              </w:rPr>
              <w:t>提供</w:t>
            </w:r>
            <w:r>
              <w:rPr>
                <w:rFonts w:ascii="仿宋" w:hAnsi="仿宋" w:eastAsia="仿宋"/>
                <w:color w:val="000000"/>
                <w:kern w:val="0"/>
              </w:rPr>
              <w:t>虚假陈述或不配合调查、约谈的</w:t>
            </w:r>
          </w:p>
        </w:tc>
        <w:tc>
          <w:tcPr>
            <w:tcW w:w="13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2分</w:t>
            </w:r>
          </w:p>
        </w:tc>
        <w:tc>
          <w:tcPr>
            <w:tcW w:w="14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p>
        </w:tc>
        <w:tc>
          <w:tcPr>
            <w:tcW w:w="53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olor w:val="000000"/>
                <w:kern w:val="0"/>
              </w:rPr>
            </w:pPr>
          </w:p>
        </w:tc>
        <w:tc>
          <w:tcPr>
            <w:tcW w:w="134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p>
        </w:tc>
        <w:tc>
          <w:tcPr>
            <w:tcW w:w="14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4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ascii="仿宋" w:hAnsi="仿宋" w:eastAsia="仿宋"/>
                <w:color w:val="000000"/>
                <w:kern w:val="0"/>
              </w:rPr>
            </w:pPr>
            <w:r>
              <w:rPr>
                <w:rFonts w:hint="eastAsia" w:ascii="仿宋" w:hAnsi="仿宋" w:eastAsia="仿宋"/>
                <w:color w:val="000000"/>
                <w:kern w:val="0"/>
              </w:rPr>
              <w:t>不按监管部门要求整改、不在法定期限内缴纳罚款，拒绝接受监管部门或项目单位追缴已退回的投标保证金的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91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在监管部门依法监督检查过程中提供虚假材料、多次询问前后表述不一致等</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b/>
                <w:bCs/>
                <w:sz w:val="22"/>
              </w:rPr>
            </w:pPr>
            <w:r>
              <w:rPr>
                <w:rFonts w:hint="eastAsia" w:ascii="仿宋" w:hAnsi="仿宋" w:eastAsia="仿宋" w:cs="仿宋"/>
                <w:b/>
                <w:bCs/>
                <w:kern w:val="0"/>
                <w:sz w:val="22"/>
                <w:lang w:bidi="ar"/>
              </w:rPr>
              <w:t>恶意投诉、</w:t>
            </w:r>
            <w:r>
              <w:rPr>
                <w:rStyle w:val="16"/>
                <w:rFonts w:hint="default" w:ascii="仿宋" w:hAnsi="仿宋" w:eastAsia="仿宋" w:cs="仿宋"/>
                <w:color w:val="auto"/>
                <w:lang w:bidi="ar"/>
              </w:rPr>
              <w:t>举报</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sz w:val="22"/>
              </w:rPr>
            </w:pPr>
            <w:r>
              <w:rPr>
                <w:rFonts w:hint="eastAsia" w:ascii="仿宋" w:hAnsi="仿宋" w:eastAsia="仿宋" w:cs="仿宋"/>
                <w:kern w:val="0"/>
                <w:sz w:val="22"/>
                <w:lang w:bidi="ar"/>
              </w:rPr>
              <w:t>竞争主体或者其他利害关系人捏造事实、伪造材料或者以非法手段取得证明材料进行投诉、</w:t>
            </w:r>
            <w:r>
              <w:rPr>
                <w:rStyle w:val="17"/>
                <w:rFonts w:hint="default" w:ascii="仿宋" w:hAnsi="仿宋" w:eastAsia="仿宋" w:cs="仿宋"/>
                <w:color w:val="auto"/>
                <w:lang w:bidi="ar"/>
              </w:rPr>
              <w:t>举报</w:t>
            </w:r>
            <w:r>
              <w:rPr>
                <w:rStyle w:val="18"/>
                <w:rFonts w:hint="default" w:ascii="仿宋" w:hAnsi="仿宋" w:eastAsia="仿宋" w:cs="仿宋"/>
                <w:color w:val="auto"/>
                <w:lang w:bidi="ar"/>
              </w:rPr>
              <w:t>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64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通过舆论媒体捏造事实，恶意抹黑他人的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70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其他违法违规情形</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在滁州市范围内，一年内三次以上提出投诉均查无实据的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60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在案件调查过程中，存在威胁办案人员等行为的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62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为同一项目不同投标人制作投标文件的</w:t>
            </w:r>
          </w:p>
        </w:tc>
        <w:tc>
          <w:tcPr>
            <w:tcW w:w="1348"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CellMar>
            <w:top w:w="0" w:type="dxa"/>
            <w:left w:w="108" w:type="dxa"/>
            <w:bottom w:w="0" w:type="dxa"/>
            <w:right w:w="108" w:type="dxa"/>
          </w:tblCellMar>
        </w:tblPrEx>
        <w:trPr>
          <w:trHeight w:val="567"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投标时承诺不实的，</w:t>
            </w:r>
            <w:r>
              <w:rPr>
                <w:rStyle w:val="18"/>
                <w:rFonts w:hint="default" w:ascii="仿宋" w:hAnsi="仿宋" w:eastAsia="仿宋" w:cs="仿宋"/>
                <w:lang w:bidi="ar"/>
              </w:rPr>
              <w:t>未构成行政处罚的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B050"/>
                <w:sz w:val="22"/>
              </w:rPr>
            </w:pPr>
          </w:p>
        </w:tc>
      </w:tr>
    </w:tbl>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zYjMwNzRiOTQ0MGQ5M2Y3OGY2NWJiZTE1MDgzMTAifQ=="/>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5033152"/>
    <w:rsid w:val="1581318B"/>
    <w:rsid w:val="1FF609B3"/>
    <w:rsid w:val="2621558A"/>
    <w:rsid w:val="3A7E348D"/>
    <w:rsid w:val="41496C4A"/>
    <w:rsid w:val="47F1516F"/>
    <w:rsid w:val="49346374"/>
    <w:rsid w:val="49E93256"/>
    <w:rsid w:val="574A1AC4"/>
    <w:rsid w:val="5C6D6B3B"/>
    <w:rsid w:val="6AC14BCD"/>
    <w:rsid w:val="6DE948F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spacing w:before="100" w:beforeAutospacing="1" w:after="100" w:afterAutospacing="1"/>
      <w:ind w:left="0" w:right="0"/>
      <w:jc w:val="left"/>
    </w:pPr>
    <w:rPr>
      <w:kern w:val="0"/>
      <w:sz w:val="24"/>
      <w:lang w:val="en-US" w:eastAsia="zh-CN" w:bidi="ar"/>
    </w:r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character" w:customStyle="1" w:styleId="14">
    <w:name w:val="日期 Char"/>
    <w:basedOn w:val="11"/>
    <w:link w:val="5"/>
    <w:semiHidden/>
    <w:qFormat/>
    <w:uiPriority w:val="99"/>
  </w:style>
  <w:style w:type="character" w:customStyle="1" w:styleId="15">
    <w:name w:val="批注框文本 Char"/>
    <w:basedOn w:val="11"/>
    <w:link w:val="6"/>
    <w:semiHidden/>
    <w:qFormat/>
    <w:uiPriority w:val="99"/>
    <w:rPr>
      <w:sz w:val="18"/>
      <w:szCs w:val="18"/>
    </w:rPr>
  </w:style>
  <w:style w:type="character" w:customStyle="1" w:styleId="16">
    <w:name w:val="font101"/>
    <w:basedOn w:val="11"/>
    <w:qFormat/>
    <w:uiPriority w:val="0"/>
    <w:rPr>
      <w:rFonts w:hint="eastAsia" w:ascii="宋体" w:hAnsi="宋体" w:eastAsia="宋体" w:cs="宋体"/>
      <w:b/>
      <w:bCs/>
      <w:color w:val="FF0000"/>
      <w:sz w:val="22"/>
      <w:szCs w:val="22"/>
      <w:u w:val="none"/>
    </w:rPr>
  </w:style>
  <w:style w:type="character" w:customStyle="1" w:styleId="17">
    <w:name w:val="font71"/>
    <w:basedOn w:val="11"/>
    <w:qFormat/>
    <w:uiPriority w:val="0"/>
    <w:rPr>
      <w:rFonts w:hint="eastAsia" w:ascii="宋体" w:hAnsi="宋体" w:eastAsia="宋体" w:cs="宋体"/>
      <w:color w:val="FF0000"/>
      <w:sz w:val="22"/>
      <w:szCs w:val="22"/>
      <w:u w:val="none"/>
    </w:rPr>
  </w:style>
  <w:style w:type="character" w:customStyle="1" w:styleId="18">
    <w:name w:val="font4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TotalTime>0</TotalTime>
  <ScaleCrop>false</ScaleCrop>
  <LinksUpToDate>false</LinksUpToDate>
  <CharactersWithSpaces>4584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Administrator</cp:lastModifiedBy>
  <cp:lastPrinted>2021-07-06T00:25:00Z</cp:lastPrinted>
  <dcterms:modified xsi:type="dcterms:W3CDTF">2023-09-13T08:18:26Z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C710FFC5D5394E08B11FC2EE31E304C7_12</vt:lpwstr>
  </property>
</Properties>
</file>