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
    <w:p>
      <w:pPr/>
    </w:p>
    <w:p>
      <w:pPr/>
    </w:p>
    <w:p>
      <w:pPr>
        <w:jc w:val="left"/>
      </w:pPr>
    </w:p>
    <w:p>
      <w:pPr>
        <w:jc w:val="left"/>
      </w:pPr>
    </w:p>
    <w:p>
      <w:pPr>
        <w:spacing w:line="560" w:lineRule="exact"/>
        <w:jc w:val="center"/>
        <w:rPr>
          <w:rFonts w:ascii="仿宋_GB2312" w:hAnsi="方正小标宋简体" w:eastAsia="仿宋_GB2312" w:cs="方正小标宋简体"/>
          <w:sz w:val="32"/>
          <w:szCs w:val="32"/>
        </w:rPr>
      </w:pPr>
    </w:p>
    <w:p>
      <w:pPr>
        <w:spacing w:line="560" w:lineRule="exact"/>
        <w:jc w:val="center"/>
        <w:rPr>
          <w:rFonts w:ascii="仿宋_GB2312" w:hAnsi="方正小标宋简体" w:eastAsia="仿宋_GB2312" w:cs="方正小标宋简体"/>
          <w:sz w:val="32"/>
          <w:szCs w:val="32"/>
        </w:rPr>
      </w:pPr>
    </w:p>
    <w:p>
      <w:pPr>
        <w:spacing w:line="900" w:lineRule="exact"/>
        <w:jc w:val="center"/>
        <w:rPr>
          <w:rFonts w:ascii="仿宋_GB2312" w:hAnsi="宋体" w:eastAsia="仿宋_GB2312"/>
          <w:bCs/>
          <w:sz w:val="32"/>
          <w:szCs w:val="32"/>
        </w:rPr>
      </w:pPr>
      <w:r>
        <w:rPr>
          <w:rFonts w:hint="eastAsia" w:ascii="仿宋_GB2312" w:hAnsi="宋体" w:eastAsia="仿宋_GB2312"/>
          <w:bCs/>
          <w:sz w:val="32"/>
          <w:szCs w:val="32"/>
        </w:rPr>
        <w:t>滁公管〔2022〕</w:t>
      </w:r>
      <w:r>
        <w:rPr>
          <w:rFonts w:hint="eastAsia" w:ascii="仿宋_GB2312" w:hAnsi="宋体" w:eastAsia="仿宋_GB2312"/>
          <w:bCs/>
          <w:sz w:val="32"/>
          <w:szCs w:val="32"/>
          <w:lang w:val="en-US" w:eastAsia="zh-CN"/>
        </w:rPr>
        <w:t>5</w:t>
      </w:r>
      <w:r>
        <w:rPr>
          <w:rFonts w:hint="eastAsia" w:ascii="仿宋_GB2312" w:hAnsi="宋体" w:eastAsia="仿宋_GB2312"/>
          <w:bCs/>
          <w:sz w:val="32"/>
          <w:szCs w:val="32"/>
        </w:rPr>
        <w:t>号</w:t>
      </w:r>
    </w:p>
    <w:p>
      <w:pPr>
        <w:spacing w:line="560" w:lineRule="exact"/>
        <w:rPr>
          <w:rFonts w:ascii="方正小标宋简体" w:hAnsi="方正小标宋简体" w:eastAsia="方正小标宋简体" w:cs="方正小标宋简体"/>
          <w:sz w:val="44"/>
          <w:szCs w:val="44"/>
        </w:rPr>
      </w:pPr>
    </w:p>
    <w:p>
      <w:pPr>
        <w:spacing w:line="560" w:lineRule="exact"/>
        <w:rPr>
          <w:rFonts w:ascii="方正小标宋简体" w:hAnsi="方正小标宋简体" w:eastAsia="方正小标宋简体" w:cs="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hAnsi="仿宋" w:eastAsia="方正小标宋简体"/>
          <w:sz w:val="44"/>
          <w:szCs w:val="44"/>
        </w:rPr>
        <w:t>关于印发《滁州市</w:t>
      </w:r>
      <w:r>
        <w:rPr>
          <w:rFonts w:hint="eastAsia" w:ascii="方正小标宋简体" w:eastAsia="方正小标宋简体"/>
          <w:sz w:val="44"/>
          <w:szCs w:val="44"/>
        </w:rPr>
        <w:t>公共资源交易代理机构及</w:t>
      </w:r>
    </w:p>
    <w:p>
      <w:pPr>
        <w:spacing w:line="560" w:lineRule="exact"/>
        <w:jc w:val="center"/>
        <w:rPr>
          <w:rFonts w:ascii="方正小标宋简体" w:hAnsi="仿宋" w:eastAsia="方正小标宋简体"/>
          <w:sz w:val="44"/>
          <w:szCs w:val="44"/>
        </w:rPr>
      </w:pPr>
      <w:r>
        <w:rPr>
          <w:rFonts w:hint="eastAsia" w:ascii="方正小标宋简体" w:eastAsia="方正小标宋简体"/>
          <w:sz w:val="44"/>
          <w:szCs w:val="44"/>
        </w:rPr>
        <w:t>从业人员管理暂行办法</w:t>
      </w:r>
      <w:bookmarkStart w:id="0" w:name="_GoBack"/>
      <w:bookmarkEnd w:id="0"/>
      <w:r>
        <w:rPr>
          <w:rFonts w:hint="eastAsia" w:ascii="方正小标宋简体" w:hAnsi="仿宋" w:eastAsia="方正小标宋简体"/>
          <w:sz w:val="44"/>
          <w:szCs w:val="44"/>
        </w:rPr>
        <w:t>》的通知</w:t>
      </w: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各相关单位：</w:t>
      </w:r>
    </w:p>
    <w:p>
      <w:pPr>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现将《滁州市公共资源交易代理机构及从业人员管理暂行办法》印发给你们，请遵照执行。</w:t>
      </w:r>
    </w:p>
    <w:p>
      <w:pPr>
        <w:spacing w:line="560" w:lineRule="exact"/>
        <w:ind w:firstLine="640"/>
        <w:jc w:val="left"/>
        <w:rPr>
          <w:rFonts w:ascii="仿宋_GB2312" w:hAnsi="仿宋_GB2312" w:eastAsia="仿宋_GB2312" w:cs="仿宋_GB2312"/>
          <w:sz w:val="32"/>
          <w:szCs w:val="32"/>
        </w:rPr>
      </w:pPr>
    </w:p>
    <w:p>
      <w:pPr>
        <w:spacing w:line="560" w:lineRule="exact"/>
        <w:ind w:firstLine="640"/>
        <w:jc w:val="left"/>
        <w:rPr>
          <w:rFonts w:ascii="仿宋_GB2312" w:hAnsi="仿宋_GB2312" w:eastAsia="仿宋_GB2312" w:cs="仿宋_GB2312"/>
          <w:sz w:val="32"/>
          <w:szCs w:val="32"/>
        </w:rPr>
      </w:pPr>
    </w:p>
    <w:p>
      <w:pPr>
        <w:spacing w:line="560" w:lineRule="exact"/>
        <w:ind w:right="420" w:right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p>
    <w:p>
      <w:pPr>
        <w:spacing w:line="480" w:lineRule="auto"/>
        <w:jc w:val="center"/>
        <w:rPr>
          <w:rFonts w:ascii="方正小标宋简体" w:hAnsi="仿宋" w:eastAsia="方正小标宋简体"/>
          <w:sz w:val="40"/>
          <w:szCs w:val="32"/>
        </w:rPr>
      </w:pPr>
    </w:p>
    <w:p>
      <w:pPr>
        <w:spacing w:line="480" w:lineRule="auto"/>
        <w:jc w:val="center"/>
        <w:rPr>
          <w:rFonts w:ascii="方正小标宋简体" w:hAnsi="仿宋" w:eastAsia="方正小标宋简体"/>
          <w:sz w:val="40"/>
          <w:szCs w:val="32"/>
        </w:rPr>
      </w:pPr>
    </w:p>
    <w:p>
      <w:pPr>
        <w:pStyle w:val="2"/>
      </w:pPr>
    </w:p>
    <w:p>
      <w:pPr>
        <w:spacing w:line="480" w:lineRule="auto"/>
        <w:jc w:val="center"/>
        <w:rPr>
          <w:rFonts w:ascii="方正小标宋简体" w:hAnsi="仿宋" w:eastAsia="方正小标宋简体"/>
          <w:sz w:val="40"/>
          <w:szCs w:val="32"/>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滁州市公共资源交易代理机构及从业人员</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管理暂行办法</w:t>
      </w:r>
    </w:p>
    <w:p>
      <w:pPr>
        <w:spacing w:line="540" w:lineRule="exact"/>
        <w:jc w:val="center"/>
        <w:outlineLvl w:val="0"/>
        <w:rPr>
          <w:rFonts w:ascii="黑体" w:hAnsi="黑体" w:eastAsia="黑体" w:cs="黑体"/>
          <w:bCs/>
          <w:kern w:val="0"/>
          <w:sz w:val="32"/>
          <w:szCs w:val="32"/>
        </w:rPr>
      </w:pPr>
    </w:p>
    <w:p>
      <w:pPr>
        <w:spacing w:line="540" w:lineRule="exact"/>
        <w:jc w:val="center"/>
        <w:outlineLvl w:val="0"/>
        <w:rPr>
          <w:rFonts w:ascii="黑体" w:hAnsi="黑体" w:eastAsia="黑体" w:cs="黑体"/>
          <w:bCs/>
          <w:kern w:val="0"/>
          <w:sz w:val="32"/>
          <w:szCs w:val="32"/>
        </w:rPr>
      </w:pPr>
      <w:r>
        <w:rPr>
          <w:rFonts w:hint="eastAsia" w:ascii="黑体" w:hAnsi="黑体" w:eastAsia="黑体" w:cs="黑体"/>
          <w:bCs/>
          <w:kern w:val="0"/>
          <w:sz w:val="32"/>
          <w:szCs w:val="32"/>
        </w:rPr>
        <w:t>第一章 总则</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rPr>
        <w:t>第一条</w:t>
      </w:r>
      <w:r>
        <w:rPr>
          <w:rFonts w:hint="eastAsia" w:ascii="仿宋_GB2312" w:hAnsi="仿宋_GB2312" w:eastAsia="仿宋_GB2312" w:cs="仿宋_GB2312"/>
          <w:sz w:val="32"/>
          <w:szCs w:val="32"/>
        </w:rPr>
        <w:t xml:space="preserve"> 为加强滁州市公共资源交易代理机构及从业人员管理，规范代理行为，提升服务能力，促进我市公共资源交易代理市场健康有序发展，根据《中华人民共和国招标投标法》、《中华人民共和国政府采购法》、《安徽省公共资源交易监督管理办法》等法律法规以及有关规定，结合实际，制定本办法。</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rPr>
        <w:t>第二条</w:t>
      </w:r>
      <w:r>
        <w:rPr>
          <w:rFonts w:hint="eastAsia" w:ascii="仿宋_GB2312" w:hAnsi="仿宋_GB2312" w:eastAsia="仿宋_GB2312" w:cs="仿宋_GB2312"/>
          <w:sz w:val="32"/>
          <w:szCs w:val="32"/>
        </w:rPr>
        <w:t xml:space="preserve"> 进入滁州市及各县（市、区）公共资源交易中心（以下简称“交易中心”）从事公共资源交易项目代理服务的代理机构及从业人员的管理，适用本办法。</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rPr>
        <w:t xml:space="preserve">第三条 </w:t>
      </w:r>
      <w:r>
        <w:rPr>
          <w:rFonts w:hint="eastAsia" w:ascii="仿宋_GB2312" w:hAnsi="仿宋_GB2312" w:eastAsia="仿宋_GB2312" w:cs="仿宋_GB2312"/>
          <w:sz w:val="32"/>
          <w:szCs w:val="32"/>
        </w:rPr>
        <w:t>本办法所称的代理机构，是指依法设立、具有独立承担民事责任能力，受公共资源交易项目业主单位委托，在我市从事工程建设项目招投标、政府采购、国有资产产权交易及其他公共资源交易项目代理等相关服务的社会中介组织。</w:t>
      </w:r>
    </w:p>
    <w:p>
      <w:pPr>
        <w:spacing w:line="540" w:lineRule="exact"/>
        <w:ind w:firstLine="643"/>
        <w:rPr>
          <w:rFonts w:ascii="仿宋_GB2312" w:hAnsi="仿宋_GB2312" w:eastAsia="仿宋_GB2312" w:cs="仿宋_GB2312"/>
          <w:sz w:val="32"/>
          <w:szCs w:val="32"/>
        </w:rPr>
      </w:pPr>
      <w:r>
        <w:rPr>
          <w:rFonts w:hint="eastAsia" w:ascii="仿宋_GB2312" w:hAnsi="仿宋_GB2312" w:eastAsia="仿宋_GB2312" w:cs="仿宋_GB2312"/>
          <w:sz w:val="32"/>
          <w:szCs w:val="32"/>
        </w:rPr>
        <w:t>本办法所称从业人员，是指代理机构参与我市公共资源交易代理业务的项目负责人及辅助人员。</w:t>
      </w:r>
    </w:p>
    <w:p>
      <w:pPr>
        <w:spacing w:line="540" w:lineRule="exact"/>
        <w:ind w:firstLine="643"/>
        <w:rPr>
          <w:rFonts w:ascii="仿宋_GB2312" w:hAnsi="仿宋_GB2312" w:eastAsia="仿宋_GB2312" w:cs="仿宋_GB2312"/>
          <w:sz w:val="32"/>
          <w:szCs w:val="32"/>
        </w:rPr>
      </w:pPr>
      <w:r>
        <w:rPr>
          <w:rFonts w:hint="eastAsia" w:ascii="仿宋_GB2312" w:hAnsi="仿宋_GB2312" w:eastAsia="仿宋_GB2312" w:cs="仿宋_GB2312"/>
          <w:sz w:val="32"/>
          <w:szCs w:val="32"/>
        </w:rPr>
        <w:t>本办法所称的信用管理，是指评价实施单位遵照相关法律、法规及有关规定，按照本办法规定的程序和方法，对代理机构及其从业人员的信用信息进行认定、记录、公开、评价及使用等活动。</w:t>
      </w:r>
    </w:p>
    <w:p>
      <w:pPr>
        <w:spacing w:line="540" w:lineRule="exact"/>
        <w:ind w:firstLine="643"/>
        <w:rPr>
          <w:rFonts w:ascii="仿宋_GB2312" w:hAnsi="仿宋_GB2312" w:eastAsia="仿宋_GB2312" w:cs="仿宋_GB2312"/>
          <w:sz w:val="32"/>
          <w:szCs w:val="32"/>
        </w:rPr>
      </w:pPr>
      <w:r>
        <w:rPr>
          <w:rFonts w:hint="eastAsia" w:ascii="仿宋_GB2312" w:hAnsi="仿宋_GB2312" w:eastAsia="仿宋_GB2312" w:cs="仿宋_GB2312"/>
          <w:sz w:val="32"/>
          <w:szCs w:val="32"/>
        </w:rPr>
        <w:t>本办法所称评价实施单位，是指项目业主单位和各级公共资源交易监督管理局或交易中心。</w:t>
      </w:r>
    </w:p>
    <w:p>
      <w:pPr>
        <w:spacing w:line="540" w:lineRule="exact"/>
        <w:ind w:firstLine="643"/>
        <w:rPr>
          <w:rFonts w:ascii="仿宋_GB2312" w:hAnsi="仿宋_GB2312" w:eastAsia="仿宋_GB2312" w:cs="仿宋_GB2312"/>
          <w:sz w:val="32"/>
          <w:szCs w:val="32"/>
        </w:rPr>
      </w:pPr>
      <w:r>
        <w:rPr>
          <w:rFonts w:hint="eastAsia" w:ascii="仿宋_GB2312" w:hAnsi="仿宋_GB2312" w:eastAsia="仿宋_GB2312" w:cs="仿宋_GB2312"/>
          <w:sz w:val="32"/>
          <w:szCs w:val="32"/>
        </w:rPr>
        <w:t>本办法所称信用信息，是指可用以识别、分析、判断代理机构履行法定或者约定义务状况的客观数据和资料。</w:t>
      </w:r>
    </w:p>
    <w:p>
      <w:pPr>
        <w:spacing w:line="540" w:lineRule="exact"/>
        <w:ind w:firstLine="643"/>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rPr>
        <w:t xml:space="preserve">第四条 </w:t>
      </w:r>
      <w:r>
        <w:rPr>
          <w:rFonts w:hint="eastAsia" w:ascii="仿宋_GB2312" w:hAnsi="仿宋_GB2312" w:eastAsia="仿宋_GB2312" w:cs="仿宋_GB2312"/>
          <w:sz w:val="32"/>
          <w:szCs w:val="32"/>
        </w:rPr>
        <w:t>滁州市公管局负责制定全市公共资源交易代理机构及从业人员管理办法，并对信用信息的认定、记录、公开及使用进行管理。</w:t>
      </w:r>
    </w:p>
    <w:p>
      <w:pPr>
        <w:tabs>
          <w:tab w:val="left" w:pos="7371"/>
        </w:tabs>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滁州市交易中心负责建设全市统一的中介超市服务平台（以下简称中介超市）；负责中介超市运行、管理</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维护。</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各县（市、区）公管局（交易中心）负责对本辖区内进场交易代理机构及从业人员的信用信息进行采集、记录，并报滁州市公管局汇总并予以公开。</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rPr>
        <w:t xml:space="preserve">第五条 </w:t>
      </w:r>
      <w:r>
        <w:rPr>
          <w:rFonts w:hint="eastAsia" w:ascii="仿宋_GB2312" w:hAnsi="仿宋_GB2312" w:eastAsia="仿宋_GB2312" w:cs="仿宋_GB2312"/>
          <w:sz w:val="32"/>
          <w:szCs w:val="32"/>
        </w:rPr>
        <w:t>管理活动应当遵循公开公平、客观公正、标准统一和诚实信用的原则。</w:t>
      </w:r>
    </w:p>
    <w:p>
      <w:pPr>
        <w:spacing w:line="540" w:lineRule="exact"/>
        <w:jc w:val="center"/>
        <w:outlineLvl w:val="0"/>
        <w:rPr>
          <w:rFonts w:ascii="黑体" w:hAnsi="黑体" w:eastAsia="黑体" w:cs="黑体"/>
          <w:bCs/>
          <w:kern w:val="0"/>
          <w:sz w:val="32"/>
          <w:szCs w:val="32"/>
        </w:rPr>
      </w:pPr>
      <w:r>
        <w:rPr>
          <w:rFonts w:hint="eastAsia" w:ascii="黑体" w:hAnsi="黑体" w:eastAsia="黑体" w:cs="黑体"/>
          <w:bCs/>
          <w:kern w:val="0"/>
          <w:sz w:val="32"/>
          <w:szCs w:val="32"/>
        </w:rPr>
        <w:t xml:space="preserve">第二章  </w:t>
      </w:r>
      <w:r>
        <w:rPr>
          <w:rFonts w:hint="eastAsia" w:ascii="黑体" w:hAnsi="黑体" w:eastAsia="黑体" w:cs="黑体"/>
          <w:bCs/>
          <w:kern w:val="0"/>
          <w:sz w:val="32"/>
          <w:szCs w:val="32"/>
          <w:lang w:eastAsia="zh-CN"/>
        </w:rPr>
        <w:t>信息完善</w:t>
      </w:r>
      <w:r>
        <w:rPr>
          <w:rFonts w:hint="eastAsia" w:ascii="黑体" w:hAnsi="黑体" w:eastAsia="黑体" w:cs="黑体"/>
          <w:bCs/>
          <w:kern w:val="0"/>
          <w:sz w:val="32"/>
          <w:szCs w:val="32"/>
        </w:rPr>
        <w:t>及从业管理</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第六条</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代理机构拟对进入滁州市公共资源交易平台交易的项目（以下</w:t>
      </w:r>
      <w:r>
        <w:rPr>
          <w:rFonts w:hint="eastAsia" w:ascii="仿宋_GB2312" w:hAnsi="仿宋_GB2312" w:eastAsia="仿宋_GB2312" w:cs="仿宋_GB2312"/>
          <w:color w:val="auto"/>
          <w:sz w:val="32"/>
          <w:szCs w:val="32"/>
        </w:rPr>
        <w:t>简称进场项目）进行代理服务，</w:t>
      </w:r>
      <w:r>
        <w:rPr>
          <w:rFonts w:hint="eastAsia" w:ascii="仿宋_GB2312" w:hAnsi="仿宋_GB2312" w:eastAsia="仿宋_GB2312" w:cs="仿宋_GB2312"/>
          <w:color w:val="auto"/>
          <w:sz w:val="32"/>
          <w:szCs w:val="32"/>
          <w:lang w:eastAsia="zh-CN"/>
        </w:rPr>
        <w:t>应在中介超市进行登记申请交易系统操作权限，</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中介超市</w:t>
      </w:r>
      <w:r>
        <w:rPr>
          <w:rFonts w:hint="eastAsia" w:ascii="仿宋_GB2312" w:hAnsi="仿宋_GB2312" w:eastAsia="仿宋_GB2312" w:cs="仿宋_GB2312"/>
          <w:color w:val="auto"/>
          <w:sz w:val="32"/>
          <w:szCs w:val="32"/>
        </w:rPr>
        <w:t>管理系统从安徽省公共资源交易市场主体库获取相关信息，信息不</w:t>
      </w:r>
      <w:r>
        <w:rPr>
          <w:rFonts w:hint="eastAsia" w:ascii="仿宋_GB2312" w:hAnsi="仿宋_GB2312" w:eastAsia="仿宋_GB2312" w:cs="仿宋_GB2312"/>
          <w:color w:val="auto"/>
          <w:sz w:val="32"/>
          <w:szCs w:val="32"/>
          <w:lang w:eastAsia="zh-CN"/>
        </w:rPr>
        <w:t>全</w:t>
      </w:r>
      <w:r>
        <w:rPr>
          <w:rFonts w:hint="eastAsia" w:ascii="仿宋_GB2312" w:hAnsi="仿宋_GB2312" w:eastAsia="仿宋_GB2312" w:cs="仿宋_GB2312"/>
          <w:color w:val="auto"/>
          <w:sz w:val="32"/>
          <w:szCs w:val="32"/>
        </w:rPr>
        <w:t>的需</w:t>
      </w:r>
      <w:r>
        <w:rPr>
          <w:rFonts w:hint="eastAsia" w:ascii="仿宋_GB2312" w:hAnsi="仿宋_GB2312" w:eastAsia="仿宋_GB2312" w:cs="仿宋_GB2312"/>
          <w:color w:val="auto"/>
          <w:sz w:val="32"/>
          <w:szCs w:val="32"/>
          <w:lang w:eastAsia="zh-CN"/>
        </w:rPr>
        <w:t>补充</w:t>
      </w:r>
      <w:r>
        <w:rPr>
          <w:rFonts w:hint="eastAsia" w:ascii="仿宋_GB2312" w:hAnsi="仿宋_GB2312" w:eastAsia="仿宋_GB2312" w:cs="仿宋_GB2312"/>
          <w:color w:val="auto"/>
          <w:sz w:val="32"/>
          <w:szCs w:val="32"/>
        </w:rPr>
        <w:t>完善，并主动公开承诺（见附件1），对</w:t>
      </w:r>
      <w:r>
        <w:rPr>
          <w:rFonts w:hint="eastAsia" w:ascii="仿宋_GB2312" w:hAnsi="仿宋_GB2312" w:eastAsia="仿宋_GB2312" w:cs="仿宋_GB2312"/>
          <w:color w:val="auto"/>
          <w:sz w:val="32"/>
          <w:szCs w:val="32"/>
          <w:lang w:eastAsia="zh-CN"/>
        </w:rPr>
        <w:t>登记</w:t>
      </w:r>
      <w:r>
        <w:rPr>
          <w:rFonts w:hint="eastAsia" w:ascii="仿宋_GB2312" w:hAnsi="仿宋_GB2312" w:eastAsia="仿宋_GB2312" w:cs="仿宋_GB2312"/>
          <w:color w:val="auto"/>
          <w:sz w:val="32"/>
          <w:szCs w:val="32"/>
        </w:rPr>
        <w:t>信息的真实性、准确性负责。</w:t>
      </w:r>
      <w:r>
        <w:rPr>
          <w:rFonts w:hint="eastAsia" w:ascii="仿宋_GB2312" w:hAnsi="仿宋_GB2312" w:eastAsia="仿宋_GB2312" w:cs="仿宋_GB2312"/>
          <w:color w:val="auto"/>
          <w:sz w:val="32"/>
          <w:szCs w:val="32"/>
          <w:lang w:eastAsia="zh-CN"/>
        </w:rPr>
        <w:t>完善登记</w:t>
      </w:r>
      <w:r>
        <w:rPr>
          <w:rFonts w:hint="eastAsia" w:ascii="仿宋_GB2312" w:hAnsi="仿宋_GB2312" w:eastAsia="仿宋_GB2312" w:cs="仿宋_GB2312"/>
          <w:color w:val="auto"/>
          <w:sz w:val="32"/>
          <w:szCs w:val="32"/>
        </w:rPr>
        <w:t>信息应</w:t>
      </w:r>
      <w:r>
        <w:rPr>
          <w:rFonts w:hint="eastAsia" w:ascii="仿宋_GB2312" w:hAnsi="仿宋_GB2312" w:eastAsia="仿宋_GB2312" w:cs="仿宋_GB2312"/>
          <w:sz w:val="32"/>
          <w:szCs w:val="32"/>
        </w:rPr>
        <w:t>包括但不限于以下内容：</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（一）代理机构名称、统一社会信用代码、办公场所地址、联系电话等机构信息。</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（二）法定代表人及专职从业人员有效身份证明、专业技术资格、本公司为其缴纳的社保证明等个人信息。</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（三）代理机构从业人员中应当有熟悉公共资源交易法律法规、具备编制交易文件和组织交易活动等相应能力的专职从业人员不少于5名。</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近</w:t>
      </w:r>
      <w:r>
        <w:rPr>
          <w:rFonts w:hint="eastAsia" w:ascii="仿宋_GB2312" w:hAnsi="仿宋_GB2312" w:eastAsia="仿宋_GB2312" w:cs="仿宋_GB2312"/>
          <w:sz w:val="32"/>
          <w:szCs w:val="32"/>
        </w:rPr>
        <w:t>三年代表性业绩（公开自登记当月追溯一年在滁开展服务的业绩）。</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）内部监督管理制度，主要包括人事管理及培训制度、代理工作规范、档案管理办法等。</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代理机构</w:t>
      </w:r>
      <w:r>
        <w:rPr>
          <w:rFonts w:hint="eastAsia" w:ascii="仿宋_GB2312" w:hAnsi="仿宋_GB2312" w:eastAsia="仿宋_GB2312" w:cs="仿宋_GB2312"/>
          <w:sz w:val="32"/>
          <w:szCs w:val="32"/>
          <w:lang w:eastAsia="zh-CN"/>
        </w:rPr>
        <w:t>登记</w:t>
      </w:r>
      <w:r>
        <w:rPr>
          <w:rFonts w:hint="eastAsia" w:ascii="仿宋_GB2312" w:hAnsi="仿宋_GB2312" w:eastAsia="仿宋_GB2312" w:cs="仿宋_GB2312"/>
          <w:sz w:val="32"/>
          <w:szCs w:val="32"/>
        </w:rPr>
        <w:t>信息不完整的，交易中心应当告知其及时完善</w:t>
      </w:r>
      <w:r>
        <w:rPr>
          <w:rFonts w:hint="eastAsia" w:ascii="仿宋_GB2312" w:hAnsi="仿宋_GB2312" w:eastAsia="仿宋_GB2312" w:cs="仿宋_GB2312"/>
          <w:sz w:val="32"/>
          <w:szCs w:val="32"/>
          <w:lang w:eastAsia="zh-CN"/>
        </w:rPr>
        <w:t>登记</w:t>
      </w:r>
      <w:r>
        <w:rPr>
          <w:rFonts w:hint="eastAsia" w:ascii="仿宋_GB2312" w:hAnsi="仿宋_GB2312" w:eastAsia="仿宋_GB2312" w:cs="仿宋_GB2312"/>
          <w:sz w:val="32"/>
          <w:szCs w:val="32"/>
        </w:rPr>
        <w:t>资料；代理机构</w:t>
      </w:r>
      <w:r>
        <w:rPr>
          <w:rFonts w:hint="eastAsia" w:ascii="仿宋_GB2312" w:hAnsi="仿宋_GB2312" w:eastAsia="仿宋_GB2312" w:cs="仿宋_GB2312"/>
          <w:sz w:val="32"/>
          <w:szCs w:val="32"/>
          <w:lang w:eastAsia="zh-CN"/>
        </w:rPr>
        <w:t>登记</w:t>
      </w:r>
      <w:r>
        <w:rPr>
          <w:rFonts w:hint="eastAsia" w:ascii="仿宋_GB2312" w:hAnsi="仿宋_GB2312" w:eastAsia="仿宋_GB2312" w:cs="仿宋_GB2312"/>
          <w:sz w:val="32"/>
          <w:szCs w:val="32"/>
        </w:rPr>
        <w:t>信息完整清晰的，交易中心应当为其开通公共资源交易系统相关操作权限。</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前述专职从业人员是指与代理机构签订劳动合同，由代理机构依法缴纳社会保险费的人员，以及代理机构法人、股东，不包括退休、外聘、兼职以及财务、行政等非业务人员。专职从业人员不得同时受聘于两家及以上代理机构。</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第七条</w:t>
      </w:r>
      <w:r>
        <w:rPr>
          <w:rFonts w:hint="eastAsia" w:ascii="楷体_GB2312" w:hAnsi="楷体_GB2312" w:eastAsia="楷体_GB2312" w:cs="楷体_GB2312"/>
          <w:b/>
          <w:sz w:val="32"/>
          <w:szCs w:val="32"/>
          <w:lang w:val="en-US" w:eastAsia="zh-CN"/>
        </w:rPr>
        <w:t xml:space="preserve"> </w:t>
      </w:r>
      <w:r>
        <w:rPr>
          <w:rFonts w:hint="eastAsia" w:ascii="仿宋_GB2312" w:hAnsi="仿宋_GB2312" w:eastAsia="仿宋_GB2312" w:cs="仿宋_GB2312"/>
          <w:sz w:val="32"/>
          <w:szCs w:val="32"/>
        </w:rPr>
        <w:t>已登记代理机构两年内在滁无任何代理业绩的，需重</w:t>
      </w:r>
      <w:r>
        <w:rPr>
          <w:rFonts w:hint="eastAsia" w:ascii="仿宋_GB2312" w:hAnsi="仿宋_GB2312" w:eastAsia="仿宋_GB2312" w:cs="仿宋_GB2312"/>
          <w:color w:val="auto"/>
          <w:sz w:val="32"/>
          <w:szCs w:val="32"/>
        </w:rPr>
        <w:t>新</w:t>
      </w:r>
      <w:r>
        <w:rPr>
          <w:rFonts w:hint="eastAsia" w:ascii="仿宋_GB2312" w:hAnsi="仿宋_GB2312" w:eastAsia="仿宋_GB2312" w:cs="仿宋_GB2312"/>
          <w:color w:val="auto"/>
          <w:sz w:val="32"/>
          <w:szCs w:val="32"/>
          <w:lang w:eastAsia="zh-CN"/>
        </w:rPr>
        <w:t>登记</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无法在本市继续执业时，应当及时向相关委托人移交档案后，并书面向滁州市交易中心申请办理退出。</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 xml:space="preserve">第八条 </w:t>
      </w:r>
      <w:r>
        <w:rPr>
          <w:rFonts w:hint="eastAsia" w:ascii="仿宋_GB2312" w:hAnsi="仿宋_GB2312" w:eastAsia="仿宋_GB2312" w:cs="仿宋_GB2312"/>
          <w:sz w:val="32"/>
          <w:szCs w:val="32"/>
        </w:rPr>
        <w:t>登记信息发生变更的，代理机构应当在信息变更之日起10个工作日内报滁州市交易中心更新。</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第九条</w:t>
      </w:r>
      <w:r>
        <w:rPr>
          <w:rFonts w:hint="eastAsia" w:ascii="仿宋_GB2312" w:hAnsi="仿宋_GB2312" w:eastAsia="仿宋_GB2312" w:cs="仿宋_GB2312"/>
          <w:sz w:val="32"/>
          <w:szCs w:val="32"/>
        </w:rPr>
        <w:t xml:space="preserve"> 代理机构或其从业人员在滁州市公共资源交易中心</w:t>
      </w:r>
      <w:r>
        <w:rPr>
          <w:rFonts w:hint="eastAsia" w:ascii="仿宋_GB2312" w:hAnsi="仿宋_GB2312" w:eastAsia="仿宋_GB2312" w:cs="仿宋_GB2312"/>
          <w:color w:val="auto"/>
          <w:sz w:val="32"/>
          <w:szCs w:val="32"/>
        </w:rPr>
        <w:t>登记信息，</w:t>
      </w:r>
      <w:r>
        <w:rPr>
          <w:rFonts w:hint="eastAsia" w:ascii="仿宋_GB2312" w:hAnsi="仿宋_GB2312" w:eastAsia="仿宋_GB2312" w:cs="仿宋_GB2312"/>
          <w:sz w:val="32"/>
          <w:szCs w:val="32"/>
        </w:rPr>
        <w:t>不得有下列情形：</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（一）代理机构及其法定代表人、专职从业人员被人民法院列入失信被执行人的；</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（二）代理机构被市场监督管理部门列入严重违法企业名单的；</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（三）代理机构被税收部门列入重大税收违法案件当事人的；</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（四）代理机构被政府采购监管部门列入政府采购严重违法失信行为记录名单的；</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（五）在“信用中国”网站上披露仍在公示期的严重失信行为的；</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（六）被滁州市县行业主管部门及公管部门禁止在一定期限内参加公共交易活动且在禁止期限内的；</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（七）代理机构及其从业人员在信息登记中存在弄虚作假的。</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第十条</w:t>
      </w:r>
      <w:r>
        <w:rPr>
          <w:rFonts w:hint="eastAsia" w:ascii="仿宋_GB2312" w:hAnsi="仿宋_GB2312" w:eastAsia="仿宋_GB2312" w:cs="仿宋_GB2312"/>
          <w:sz w:val="32"/>
          <w:szCs w:val="32"/>
        </w:rPr>
        <w:t xml:space="preserve"> 代理机构从事进场项目代理服务应当具备策划交易方案、编制交易文件、组织开评标和归档交易档案等相应专业能力，并受项目业主单位委托承担以下职责：</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（一）项目登记应符合相关规定；</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（二）依据行业主管部门或公共资源交易行政主管部门范本、评标办法编制交易文件；</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（三）组织开标、评标、竞价等公共资源交易活动，严格遵守公管局及交易中心相关规定和应急管理规定；</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（四）澄清、答复竞争主体以及其他利害关系人提出的异议（质疑）；</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（五）协助项目业主单位使用全程电子化完成项目交易，按数据规范进行数据填报和项目操作，确认将交易环节和交易数据及时、准确、完整的推送至电子服务系统；</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（六）配合公共资源交易</w:t>
      </w:r>
      <w:r>
        <w:rPr>
          <w:rFonts w:hint="eastAsia" w:ascii="仿宋_GB2312" w:hAnsi="仿宋_GB2312" w:eastAsia="仿宋_GB2312" w:cs="仿宋_GB2312"/>
          <w:color w:val="auto"/>
          <w:sz w:val="32"/>
          <w:szCs w:val="32"/>
        </w:rPr>
        <w:t>行政主管部门处理投诉</w:t>
      </w:r>
      <w:r>
        <w:rPr>
          <w:rFonts w:hint="eastAsia" w:ascii="仿宋_GB2312" w:hAnsi="仿宋_GB2312" w:eastAsia="仿宋_GB2312" w:cs="仿宋_GB2312"/>
          <w:color w:val="auto"/>
          <w:sz w:val="32"/>
          <w:szCs w:val="32"/>
          <w:lang w:eastAsia="zh-CN"/>
        </w:rPr>
        <w:t>、案件等</w:t>
      </w:r>
      <w:r>
        <w:rPr>
          <w:rFonts w:hint="eastAsia" w:ascii="仿宋_GB2312" w:hAnsi="仿宋_GB2312" w:eastAsia="仿宋_GB2312" w:cs="仿宋_GB2312"/>
          <w:color w:val="auto"/>
          <w:sz w:val="32"/>
          <w:szCs w:val="32"/>
        </w:rPr>
        <w:t>事项；</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（七）协助项目业主单位进行合同</w:t>
      </w:r>
      <w:r>
        <w:rPr>
          <w:rFonts w:hint="eastAsia" w:ascii="仿宋_GB2312" w:hAnsi="仿宋_GB2312" w:eastAsia="仿宋_GB2312" w:cs="仿宋_GB2312"/>
          <w:color w:val="auto"/>
          <w:sz w:val="32"/>
          <w:szCs w:val="32"/>
          <w:lang w:eastAsia="zh-CN"/>
        </w:rPr>
        <w:t>信息、履约信息公开</w:t>
      </w:r>
      <w:r>
        <w:rPr>
          <w:rFonts w:hint="eastAsia" w:ascii="仿宋_GB2312" w:hAnsi="仿宋_GB2312" w:eastAsia="仿宋_GB2312" w:cs="仿宋_GB2312"/>
          <w:color w:val="auto"/>
          <w:sz w:val="32"/>
          <w:szCs w:val="32"/>
        </w:rPr>
        <w:t>；</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（八）及时向交易中心移交项目档案资料；</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（九）严格执行相关法律、法规和规章规定；</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（十）法律法规等规定的其他职责。</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第十一条</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kern w:val="0"/>
          <w:sz w:val="32"/>
          <w:szCs w:val="32"/>
        </w:rPr>
        <w:t>代理</w:t>
      </w:r>
      <w:r>
        <w:rPr>
          <w:rFonts w:hint="eastAsia" w:ascii="仿宋_GB2312" w:hAnsi="仿宋_GB2312" w:eastAsia="仿宋_GB2312" w:cs="仿宋_GB2312"/>
          <w:sz w:val="32"/>
          <w:szCs w:val="32"/>
        </w:rPr>
        <w:t>机构开展进场项目代理服务时，应当组建能够满足项目交易需要的含项目负责人在内不少于2名从业人员的项目组，并明确项目负责人。项目组成员办理代理业务时应当实名，对所代理业务承担相应责任。</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交易文件编制、开标会议组织、评标评审现场服务及项目异议、质疑、投诉处理等工作必须由项目负责人办理。项目负责人除因离职、重大疾病等客观条件不能履职外，原则上不能变更；确需变更的，应当经项目业主单位书面同意，并向监督部门办理变更手续。</w:t>
      </w:r>
    </w:p>
    <w:p>
      <w:pPr>
        <w:spacing w:line="540" w:lineRule="exact"/>
        <w:ind w:firstLine="640" w:firstLineChars="200"/>
      </w:pPr>
      <w:r>
        <w:rPr>
          <w:rFonts w:hint="eastAsia" w:ascii="仿宋_GB2312" w:hAnsi="仿宋_GB2312" w:eastAsia="仿宋_GB2312" w:cs="仿宋_GB2312"/>
          <w:sz w:val="32"/>
          <w:szCs w:val="32"/>
        </w:rPr>
        <w:t>从事工程建设项目的代理机构从业人员应当有具备工程建设类专业技术职称或同等水平执业资格。从事政府采购项目的代理机构</w:t>
      </w:r>
      <w:r>
        <w:rPr>
          <w:rFonts w:hint="eastAsia" w:ascii="仿宋_GB2312" w:hAnsi="仿宋_GB2312" w:eastAsia="仿宋_GB2312" w:cs="仿宋_GB2312"/>
          <w:sz w:val="32"/>
          <w:szCs w:val="32"/>
          <w:lang w:eastAsia="zh-CN"/>
        </w:rPr>
        <w:t>及其</w:t>
      </w:r>
      <w:r>
        <w:rPr>
          <w:rFonts w:hint="eastAsia" w:ascii="仿宋_GB2312" w:hAnsi="仿宋_GB2312" w:eastAsia="仿宋_GB2312" w:cs="仿宋_GB2312"/>
          <w:sz w:val="32"/>
          <w:szCs w:val="32"/>
        </w:rPr>
        <w:t>从业人员还应当在财政部门指定的中国政府采购网办理信息登记。</w:t>
      </w:r>
    </w:p>
    <w:p>
      <w:pPr>
        <w:spacing w:line="540" w:lineRule="exact"/>
        <w:ind w:firstLine="643" w:firstLineChars="200"/>
        <w:jc w:val="left"/>
        <w:outlineLvl w:val="0"/>
        <w:rPr>
          <w:rFonts w:ascii="黑体" w:hAnsi="黑体" w:eastAsia="黑体" w:cs="黑体"/>
          <w:bCs/>
          <w:kern w:val="0"/>
          <w:sz w:val="32"/>
          <w:szCs w:val="32"/>
        </w:rPr>
      </w:pPr>
      <w:r>
        <w:rPr>
          <w:rFonts w:hint="eastAsia" w:ascii="楷体_GB2312" w:hAnsi="楷体_GB2312" w:eastAsia="楷体_GB2312" w:cs="楷体_GB2312"/>
          <w:b/>
          <w:bCs/>
          <w:kern w:val="0"/>
          <w:sz w:val="32"/>
          <w:szCs w:val="32"/>
        </w:rPr>
        <w:t>第十</w:t>
      </w:r>
      <w:r>
        <w:rPr>
          <w:rFonts w:hint="eastAsia" w:ascii="楷体_GB2312" w:hAnsi="楷体_GB2312" w:eastAsia="楷体_GB2312" w:cs="楷体_GB2312"/>
          <w:b/>
          <w:bCs/>
          <w:kern w:val="0"/>
          <w:sz w:val="32"/>
          <w:szCs w:val="32"/>
          <w:lang w:eastAsia="zh-CN"/>
        </w:rPr>
        <w:t>二</w:t>
      </w:r>
      <w:r>
        <w:rPr>
          <w:rFonts w:hint="eastAsia" w:ascii="楷体_GB2312" w:hAnsi="楷体_GB2312" w:eastAsia="楷体_GB2312" w:cs="楷体_GB2312"/>
          <w:b/>
          <w:bCs/>
          <w:kern w:val="0"/>
          <w:sz w:val="32"/>
          <w:szCs w:val="32"/>
        </w:rPr>
        <w:t>条</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kern w:val="0"/>
          <w:sz w:val="32"/>
          <w:szCs w:val="32"/>
        </w:rPr>
        <w:t>各级主管部门应加强对代理机构的监督检查、业务培训及测评。</w:t>
      </w:r>
      <w:r>
        <w:rPr>
          <w:rFonts w:hint="eastAsia" w:ascii="仿宋_GB2312" w:hAnsi="黑体" w:eastAsia="仿宋_GB2312"/>
          <w:b/>
          <w:bCs/>
          <w:sz w:val="32"/>
          <w:szCs w:val="32"/>
        </w:rPr>
        <w:t xml:space="preserve"> </w:t>
      </w:r>
    </w:p>
    <w:p>
      <w:pPr>
        <w:spacing w:line="540" w:lineRule="exact"/>
        <w:jc w:val="center"/>
        <w:outlineLvl w:val="0"/>
        <w:rPr>
          <w:rFonts w:ascii="黑体" w:hAnsi="黑体" w:eastAsia="黑体" w:cs="黑体"/>
          <w:bCs/>
          <w:kern w:val="0"/>
          <w:sz w:val="32"/>
          <w:szCs w:val="32"/>
        </w:rPr>
      </w:pPr>
      <w:r>
        <w:rPr>
          <w:rFonts w:hint="eastAsia" w:ascii="黑体" w:hAnsi="黑体" w:eastAsia="黑体" w:cs="黑体"/>
          <w:bCs/>
          <w:kern w:val="0"/>
          <w:sz w:val="32"/>
          <w:szCs w:val="32"/>
        </w:rPr>
        <w:t>第三章 代理机构选取</w:t>
      </w:r>
    </w:p>
    <w:p>
      <w:pPr>
        <w:spacing w:line="540" w:lineRule="exact"/>
        <w:ind w:firstLine="643" w:firstLineChars="200"/>
        <w:rPr>
          <w:rFonts w:ascii="仿宋_GB2312" w:hAnsi="Times New Roman" w:eastAsia="仿宋_GB2312"/>
          <w:bCs/>
          <w:sz w:val="32"/>
          <w:szCs w:val="32"/>
        </w:rPr>
      </w:pPr>
      <w:r>
        <w:rPr>
          <w:rFonts w:hint="eastAsia" w:ascii="楷体_GB2312" w:hAnsi="楷体_GB2312" w:eastAsia="楷体_GB2312" w:cs="楷体_GB2312"/>
          <w:b/>
          <w:bCs/>
          <w:kern w:val="0"/>
          <w:sz w:val="32"/>
          <w:szCs w:val="32"/>
        </w:rPr>
        <w:t>第十</w:t>
      </w:r>
      <w:r>
        <w:rPr>
          <w:rFonts w:hint="eastAsia" w:ascii="楷体_GB2312" w:hAnsi="楷体_GB2312" w:eastAsia="楷体_GB2312" w:cs="楷体_GB2312"/>
          <w:b/>
          <w:bCs/>
          <w:kern w:val="0"/>
          <w:sz w:val="32"/>
          <w:szCs w:val="32"/>
          <w:lang w:eastAsia="zh-CN"/>
        </w:rPr>
        <w:t>三</w:t>
      </w:r>
      <w:r>
        <w:rPr>
          <w:rFonts w:hint="eastAsia" w:ascii="楷体_GB2312" w:hAnsi="楷体_GB2312" w:eastAsia="楷体_GB2312" w:cs="楷体_GB2312"/>
          <w:b/>
          <w:bCs/>
          <w:kern w:val="0"/>
          <w:sz w:val="32"/>
          <w:szCs w:val="32"/>
        </w:rPr>
        <w:t>条</w:t>
      </w:r>
      <w:r>
        <w:rPr>
          <w:rFonts w:hint="eastAsia" w:ascii="仿宋_GB2312" w:hAnsi="黑体" w:eastAsia="仿宋_GB2312"/>
          <w:b/>
          <w:bCs/>
          <w:sz w:val="32"/>
          <w:szCs w:val="32"/>
        </w:rPr>
        <w:t xml:space="preserve"> </w:t>
      </w:r>
      <w:r>
        <w:rPr>
          <w:rFonts w:hint="eastAsia" w:ascii="仿宋_GB2312" w:hAnsi="黑体" w:eastAsia="仿宋_GB2312"/>
          <w:sz w:val="32"/>
          <w:szCs w:val="32"/>
        </w:rPr>
        <w:t>进场项目代理，项目业主单位一般</w:t>
      </w:r>
      <w:r>
        <w:rPr>
          <w:rFonts w:hint="eastAsia" w:ascii="仿宋_GB2312" w:hAnsi="Times New Roman" w:eastAsia="仿宋_GB2312"/>
          <w:bCs/>
          <w:sz w:val="32"/>
          <w:szCs w:val="32"/>
        </w:rPr>
        <w:t>依据</w:t>
      </w:r>
      <w:r>
        <w:rPr>
          <w:rFonts w:hint="eastAsia" w:ascii="仿宋_GB2312" w:hAnsi="仿宋_GB2312" w:eastAsia="仿宋_GB2312" w:cs="仿宋_GB2312"/>
          <w:sz w:val="32"/>
          <w:szCs w:val="32"/>
        </w:rPr>
        <w:t>项目特点以及代理</w:t>
      </w:r>
      <w:r>
        <w:rPr>
          <w:rFonts w:hint="eastAsia" w:ascii="仿宋_GB2312" w:hAnsi="Times New Roman" w:eastAsia="仿宋_GB2312"/>
          <w:bCs/>
          <w:sz w:val="32"/>
          <w:szCs w:val="32"/>
        </w:rPr>
        <w:t>机构及从业人员的业绩、服务质量、信用评价和收费等情况，依法</w:t>
      </w:r>
      <w:r>
        <w:rPr>
          <w:rFonts w:hint="eastAsia" w:ascii="仿宋_GB2312" w:hAnsi="Times New Roman" w:eastAsia="仿宋_GB2312"/>
          <w:bCs/>
          <w:sz w:val="32"/>
          <w:szCs w:val="32"/>
          <w:lang w:eastAsia="zh-CN"/>
        </w:rPr>
        <w:t>自主</w:t>
      </w:r>
      <w:r>
        <w:rPr>
          <w:rFonts w:hint="eastAsia" w:ascii="仿宋_GB2312" w:hAnsi="Times New Roman" w:eastAsia="仿宋_GB2312"/>
          <w:bCs/>
          <w:sz w:val="32"/>
          <w:szCs w:val="32"/>
        </w:rPr>
        <w:t>择优选择代理机构（选取流程见附件2）。</w:t>
      </w:r>
    </w:p>
    <w:p>
      <w:pPr>
        <w:spacing w:line="540" w:lineRule="exact"/>
        <w:ind w:firstLine="640" w:firstLineChars="200"/>
        <w:rPr>
          <w:rFonts w:ascii="仿宋_GB2312" w:hAnsi="Times New Roman" w:eastAsia="仿宋_GB2312"/>
          <w:bCs/>
          <w:sz w:val="32"/>
          <w:szCs w:val="32"/>
        </w:rPr>
      </w:pPr>
      <w:r>
        <w:rPr>
          <w:rFonts w:hint="eastAsia" w:ascii="仿宋_GB2312" w:hAnsi="仿宋_GB2312" w:eastAsia="仿宋_GB2312" w:cs="仿宋_GB2312"/>
          <w:bCs/>
          <w:sz w:val="32"/>
          <w:szCs w:val="32"/>
        </w:rPr>
        <w:t>中介超市根据代理机构业务特长、专职从业人员数量、业绩数量、信用评级等多指标多维度对代理机构综合信息公开，并接受社会监督。</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rPr>
        <w:t>第十</w:t>
      </w:r>
      <w:r>
        <w:rPr>
          <w:rFonts w:hint="eastAsia" w:ascii="楷体_GB2312" w:hAnsi="楷体_GB2312" w:eastAsia="楷体_GB2312" w:cs="楷体_GB2312"/>
          <w:b/>
          <w:bCs/>
          <w:kern w:val="0"/>
          <w:sz w:val="32"/>
          <w:szCs w:val="32"/>
          <w:lang w:eastAsia="zh-CN"/>
        </w:rPr>
        <w:t>四</w:t>
      </w:r>
      <w:r>
        <w:rPr>
          <w:rFonts w:hint="eastAsia" w:ascii="楷体_GB2312" w:hAnsi="楷体_GB2312" w:eastAsia="楷体_GB2312" w:cs="楷体_GB2312"/>
          <w:b/>
          <w:bCs/>
          <w:kern w:val="0"/>
          <w:sz w:val="32"/>
          <w:szCs w:val="32"/>
        </w:rPr>
        <w:t>条</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进场项目代理服务实行“一项目一合同”，代理机构应当与项目业主单位依法签订代理服务书面委托合同，明确代理范围、项目负责人、代理服务费收取、档案保管移交等事项，并在合同约定的范围内依法开展相关活动。</w:t>
      </w:r>
    </w:p>
    <w:p>
      <w:pPr>
        <w:widowControl/>
        <w:tabs>
          <w:tab w:val="left" w:pos="3544"/>
        </w:tabs>
        <w:adjustRightInd w:val="0"/>
        <w:snapToGrid w:val="0"/>
        <w:spacing w:line="540" w:lineRule="exact"/>
        <w:ind w:firstLine="643"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color w:val="auto"/>
          <w:sz w:val="32"/>
          <w:szCs w:val="32"/>
        </w:rPr>
        <w:t>第十</w:t>
      </w:r>
      <w:r>
        <w:rPr>
          <w:rFonts w:hint="eastAsia" w:ascii="楷体_GB2312" w:hAnsi="楷体_GB2312" w:eastAsia="楷体_GB2312" w:cs="楷体_GB2312"/>
          <w:b/>
          <w:color w:val="auto"/>
          <w:sz w:val="32"/>
          <w:szCs w:val="32"/>
          <w:lang w:eastAsia="zh-CN"/>
        </w:rPr>
        <w:t>五</w:t>
      </w:r>
      <w:r>
        <w:rPr>
          <w:rFonts w:hint="eastAsia" w:ascii="楷体_GB2312" w:hAnsi="楷体_GB2312" w:eastAsia="楷体_GB2312" w:cs="楷体_GB2312"/>
          <w:b/>
          <w:color w:val="auto"/>
          <w:sz w:val="32"/>
          <w:szCs w:val="32"/>
        </w:rPr>
        <w:t>条</w:t>
      </w:r>
      <w:r>
        <w:rPr>
          <w:rFonts w:hint="eastAsia" w:ascii="仿宋_GB2312" w:hAnsi="仿宋_GB2312" w:eastAsia="仿宋_GB2312" w:cs="仿宋_GB2312"/>
          <w:b/>
          <w:bCs/>
          <w:color w:val="auto"/>
          <w:kern w:val="0"/>
          <w:sz w:val="32"/>
          <w:szCs w:val="32"/>
        </w:rPr>
        <w:t xml:space="preserve"> </w:t>
      </w:r>
      <w:r>
        <w:rPr>
          <w:rFonts w:hint="eastAsia" w:ascii="仿宋_GB2312" w:hAnsi="仿宋_GB2312" w:eastAsia="仿宋_GB2312" w:cs="仿宋_GB2312"/>
          <w:sz w:val="32"/>
          <w:szCs w:val="32"/>
        </w:rPr>
        <w:t>进场项目代理服务费由项目业主单位与代理机构自行商定，实行市场定</w:t>
      </w:r>
      <w:r>
        <w:rPr>
          <w:rFonts w:hint="eastAsia" w:ascii="仿宋_GB2312" w:hAnsi="仿宋_GB2312" w:eastAsia="仿宋_GB2312" w:cs="仿宋_GB2312"/>
          <w:color w:val="auto"/>
          <w:sz w:val="32"/>
          <w:szCs w:val="32"/>
        </w:rPr>
        <w:t>价</w:t>
      </w:r>
      <w:r>
        <w:rPr>
          <w:rFonts w:hint="eastAsia" w:ascii="仿宋_GB2312" w:hAnsi="仿宋_GB2312" w:eastAsia="仿宋_GB2312" w:cs="仿宋_GB2312"/>
          <w:color w:val="auto"/>
          <w:sz w:val="32"/>
          <w:szCs w:val="32"/>
          <w:lang w:eastAsia="zh-CN"/>
        </w:rPr>
        <w:t>。</w:t>
      </w:r>
    </w:p>
    <w:p>
      <w:pPr>
        <w:widowControl/>
        <w:tabs>
          <w:tab w:val="left" w:pos="3544"/>
        </w:tabs>
        <w:adjustRightInd w:val="0"/>
        <w:snapToGrid w:val="0"/>
        <w:spacing w:line="540" w:lineRule="exact"/>
        <w:ind w:firstLine="640" w:firstLineChars="200"/>
        <w:rPr>
          <w:rFonts w:ascii="仿宋_GB2312" w:hAnsi="仿宋_GB2312" w:eastAsia="仿宋_GB2312" w:cs="仿宋_GB2312"/>
          <w:b/>
          <w:bCs/>
          <w:color w:val="auto"/>
          <w:kern w:val="0"/>
          <w:sz w:val="32"/>
          <w:szCs w:val="32"/>
        </w:rPr>
      </w:pPr>
      <w:r>
        <w:rPr>
          <w:rFonts w:hint="eastAsia" w:ascii="仿宋_GB2312" w:hAnsi="仿宋_GB2312" w:eastAsia="仿宋_GB2312" w:cs="仿宋_GB2312"/>
          <w:color w:val="auto"/>
          <w:sz w:val="32"/>
          <w:szCs w:val="32"/>
          <w:lang w:eastAsia="zh-CN"/>
        </w:rPr>
        <w:t>市场价格难以确定的，</w:t>
      </w:r>
      <w:r>
        <w:rPr>
          <w:rFonts w:hint="eastAsia" w:ascii="仿宋_GB2312" w:hAnsi="仿宋_GB2312" w:eastAsia="仿宋_GB2312" w:cs="仿宋_GB2312"/>
          <w:color w:val="auto"/>
          <w:sz w:val="32"/>
          <w:szCs w:val="32"/>
        </w:rPr>
        <w:t>也可以参照原国家计委〔2002〕1980号文件规定的收费标准［单独提供编制招标文件（有标底的含标底）服务的按标准的30%］计取，</w:t>
      </w:r>
      <w:r>
        <w:rPr>
          <w:rFonts w:hint="eastAsia" w:ascii="仿宋_GB2312" w:hAnsi="仿宋_GB2312" w:eastAsia="仿宋_GB2312" w:cs="仿宋_GB2312"/>
          <w:color w:val="auto"/>
          <w:sz w:val="32"/>
          <w:szCs w:val="32"/>
          <w:lang w:eastAsia="zh-CN"/>
        </w:rPr>
        <w:t>代理服务较为</w:t>
      </w:r>
      <w:r>
        <w:rPr>
          <w:rFonts w:hint="eastAsia" w:ascii="仿宋_GB2312" w:hAnsi="仿宋_GB2312" w:eastAsia="仿宋_GB2312" w:cs="仿宋_GB2312"/>
          <w:color w:val="auto"/>
          <w:sz w:val="32"/>
          <w:szCs w:val="32"/>
        </w:rPr>
        <w:t>复杂的，建议上浮幅度0-20%左右。产权交易项目、公开招标限额以下工程建设项目和单一来源采购项目代理服务费可以参照3000</w:t>
      </w:r>
      <w:r>
        <w:rPr>
          <w:rFonts w:hint="eastAsia" w:ascii="仿宋_GB2312" w:hAnsi="仿宋_GB2312" w:eastAsia="仿宋_GB2312" w:cs="仿宋_GB2312"/>
          <w:color w:val="auto"/>
          <w:sz w:val="32"/>
          <w:szCs w:val="32"/>
          <w:lang w:val="en-US" w:eastAsia="zh-CN"/>
        </w:rPr>
        <w:t>-5000</w:t>
      </w:r>
      <w:r>
        <w:rPr>
          <w:rFonts w:hint="eastAsia" w:ascii="仿宋_GB2312" w:hAnsi="仿宋_GB2312" w:eastAsia="仿宋_GB2312" w:cs="仿宋_GB2312"/>
          <w:color w:val="auto"/>
          <w:sz w:val="32"/>
          <w:szCs w:val="32"/>
        </w:rPr>
        <w:t>元/个计算。特殊项目由项目业主单位和代理机构协商确定。</w:t>
      </w:r>
    </w:p>
    <w:p>
      <w:pPr>
        <w:widowControl/>
        <w:tabs>
          <w:tab w:val="left" w:pos="3544"/>
        </w:tabs>
        <w:adjustRightInd w:val="0"/>
        <w:snapToGrid w:val="0"/>
        <w:spacing w:line="540" w:lineRule="exact"/>
        <w:ind w:firstLine="640" w:firstLineChars="200"/>
        <w:rPr>
          <w:rFonts w:ascii="仿宋_GB2312" w:hAnsi="Times New Roman" w:eastAsia="仿宋_GB2312"/>
          <w:bCs/>
          <w:sz w:val="32"/>
          <w:szCs w:val="32"/>
        </w:rPr>
      </w:pPr>
      <w:r>
        <w:rPr>
          <w:rFonts w:hint="eastAsia" w:ascii="仿宋_GB2312" w:hAnsi="仿宋_GB2312" w:eastAsia="仿宋_GB2312" w:cs="仿宋_GB2312"/>
          <w:sz w:val="32"/>
          <w:szCs w:val="32"/>
        </w:rPr>
        <w:t>代理服务费具体金额应在代理服务协议及交易文件、中标候选人公示中予以注明，并明确支付主体、时间、方式和是否包含专家评审劳务费。代理机构代付专家评审费的应提供专家评审费领取记录，但不得泄露应当保密的信息。</w:t>
      </w:r>
    </w:p>
    <w:p>
      <w:pPr>
        <w:spacing w:line="540" w:lineRule="exact"/>
        <w:jc w:val="center"/>
        <w:outlineLvl w:val="0"/>
        <w:rPr>
          <w:rFonts w:ascii="黑体" w:hAnsi="黑体" w:eastAsia="黑体" w:cs="黑体"/>
          <w:bCs/>
          <w:sz w:val="32"/>
          <w:szCs w:val="32"/>
        </w:rPr>
      </w:pPr>
      <w:r>
        <w:rPr>
          <w:rFonts w:hint="eastAsia" w:ascii="黑体" w:hAnsi="黑体" w:eastAsia="黑体" w:cs="黑体"/>
          <w:bCs/>
          <w:sz w:val="32"/>
          <w:szCs w:val="32"/>
        </w:rPr>
        <w:t>第四章 信用评价标准和等级</w:t>
      </w:r>
    </w:p>
    <w:p>
      <w:pPr>
        <w:snapToGrid w:val="0"/>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第十</w:t>
      </w:r>
      <w:r>
        <w:rPr>
          <w:rFonts w:hint="eastAsia" w:ascii="楷体_GB2312" w:hAnsi="楷体_GB2312" w:eastAsia="楷体_GB2312" w:cs="楷体_GB2312"/>
          <w:b/>
          <w:sz w:val="32"/>
          <w:szCs w:val="32"/>
          <w:lang w:eastAsia="zh-CN"/>
        </w:rPr>
        <w:t>六</w:t>
      </w:r>
      <w:r>
        <w:rPr>
          <w:rFonts w:hint="eastAsia" w:ascii="楷体_GB2312" w:hAnsi="楷体_GB2312" w:eastAsia="楷体_GB2312" w:cs="楷体_GB2312"/>
          <w:b/>
          <w:sz w:val="32"/>
          <w:szCs w:val="32"/>
        </w:rPr>
        <w:t xml:space="preserve">条 </w:t>
      </w:r>
      <w:r>
        <w:rPr>
          <w:rFonts w:hint="eastAsia" w:ascii="仿宋_GB2312" w:hAnsi="仿宋_GB2312" w:eastAsia="仿宋_GB2312" w:cs="仿宋_GB2312"/>
          <w:sz w:val="32"/>
          <w:szCs w:val="32"/>
        </w:rPr>
        <w:t>代理机构及其从业人员信用评价内容由基础信息、日常考</w:t>
      </w:r>
      <w:r>
        <w:rPr>
          <w:rFonts w:hint="eastAsia" w:ascii="仿宋_GB2312" w:hAnsi="仿宋_GB2312" w:eastAsia="仿宋_GB2312" w:cs="仿宋_GB2312"/>
          <w:color w:val="auto"/>
          <w:sz w:val="32"/>
          <w:szCs w:val="32"/>
        </w:rPr>
        <w:t>核、</w:t>
      </w:r>
      <w:r>
        <w:rPr>
          <w:rFonts w:hint="eastAsia" w:ascii="仿宋_GB2312" w:hAnsi="仿宋_GB2312" w:eastAsia="仿宋_GB2312" w:cs="仿宋_GB2312"/>
          <w:color w:val="auto"/>
          <w:sz w:val="32"/>
          <w:szCs w:val="32"/>
          <w:lang w:eastAsia="zh-CN"/>
        </w:rPr>
        <w:t>执业能力</w:t>
      </w:r>
      <w:r>
        <w:rPr>
          <w:rFonts w:hint="eastAsia" w:ascii="仿宋_GB2312" w:hAnsi="仿宋_GB2312" w:eastAsia="仿宋_GB2312" w:cs="仿宋_GB2312"/>
          <w:color w:val="auto"/>
          <w:sz w:val="32"/>
          <w:szCs w:val="32"/>
        </w:rPr>
        <w:t>、奖</w:t>
      </w:r>
      <w:r>
        <w:rPr>
          <w:rFonts w:hint="eastAsia" w:ascii="仿宋_GB2312" w:hAnsi="仿宋_GB2312" w:eastAsia="仿宋_GB2312" w:cs="仿宋_GB2312"/>
          <w:sz w:val="32"/>
          <w:szCs w:val="32"/>
        </w:rPr>
        <w:t>励四部分组成，由评价实施单位对照《滁州市公共资源交易代理机构信用评价暂行标准》（见附件3）进行量化评价。</w:t>
      </w:r>
    </w:p>
    <w:p>
      <w:pPr>
        <w:snapToGrid w:val="0"/>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第十</w:t>
      </w:r>
      <w:r>
        <w:rPr>
          <w:rFonts w:hint="eastAsia" w:ascii="楷体_GB2312" w:hAnsi="楷体_GB2312" w:eastAsia="楷体_GB2312" w:cs="楷体_GB2312"/>
          <w:b/>
          <w:sz w:val="32"/>
          <w:szCs w:val="32"/>
          <w:lang w:eastAsia="zh-CN"/>
        </w:rPr>
        <w:t>七</w:t>
      </w:r>
      <w:r>
        <w:rPr>
          <w:rFonts w:hint="eastAsia" w:ascii="楷体_GB2312" w:hAnsi="楷体_GB2312" w:eastAsia="楷体_GB2312" w:cs="楷体_GB2312"/>
          <w:b/>
          <w:sz w:val="32"/>
          <w:szCs w:val="32"/>
        </w:rPr>
        <w:t xml:space="preserve">条 </w:t>
      </w:r>
      <w:r>
        <w:rPr>
          <w:rFonts w:hint="eastAsia" w:ascii="仿宋_GB2312" w:hAnsi="仿宋_GB2312" w:eastAsia="仿宋_GB2312" w:cs="仿宋_GB2312"/>
          <w:sz w:val="32"/>
          <w:szCs w:val="32"/>
        </w:rPr>
        <w:t>代理机构及其从业人员信用评价按照“一标一评”原则实行评分制，信用评价等级按评分分值区间确定，实行动态评价、动态管理。</w:t>
      </w:r>
    </w:p>
    <w:p>
      <w:pPr>
        <w:spacing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color w:val="auto"/>
          <w:sz w:val="32"/>
          <w:szCs w:val="32"/>
        </w:rPr>
        <w:t>第十</w:t>
      </w:r>
      <w:r>
        <w:rPr>
          <w:rFonts w:hint="eastAsia" w:ascii="楷体_GB2312" w:hAnsi="楷体_GB2312" w:eastAsia="楷体_GB2312" w:cs="楷体_GB2312"/>
          <w:b/>
          <w:color w:val="auto"/>
          <w:sz w:val="32"/>
          <w:szCs w:val="32"/>
          <w:lang w:eastAsia="zh-CN"/>
        </w:rPr>
        <w:t>八</w:t>
      </w:r>
      <w:r>
        <w:rPr>
          <w:rFonts w:hint="eastAsia" w:ascii="楷体_GB2312" w:hAnsi="楷体_GB2312" w:eastAsia="楷体_GB2312" w:cs="楷体_GB2312"/>
          <w:b/>
          <w:color w:val="auto"/>
          <w:sz w:val="32"/>
          <w:szCs w:val="32"/>
        </w:rPr>
        <w:t>条</w:t>
      </w:r>
      <w:r>
        <w:rPr>
          <w:rFonts w:hint="eastAsia" w:ascii="楷体_GB2312" w:hAnsi="楷体_GB2312" w:eastAsia="楷体_GB2312" w:cs="楷体_GB2312"/>
          <w:b/>
          <w:sz w:val="32"/>
          <w:szCs w:val="32"/>
        </w:rPr>
        <w:t xml:space="preserve"> </w:t>
      </w:r>
      <w:r>
        <w:rPr>
          <w:rFonts w:hint="eastAsia" w:ascii="仿宋_GB2312" w:hAnsi="仿宋_GB2312" w:eastAsia="仿宋_GB2312" w:cs="仿宋_GB2312"/>
          <w:sz w:val="32"/>
          <w:szCs w:val="32"/>
        </w:rPr>
        <w:t>代理</w:t>
      </w:r>
      <w:r>
        <w:rPr>
          <w:rFonts w:hint="eastAsia" w:ascii="仿宋_GB2312" w:hAnsi="仿宋_GB2312" w:eastAsia="仿宋_GB2312" w:cs="仿宋_GB2312"/>
          <w:bCs/>
          <w:sz w:val="32"/>
          <w:szCs w:val="32"/>
        </w:rPr>
        <w:t>机</w:t>
      </w:r>
      <w:r>
        <w:rPr>
          <w:rFonts w:hint="eastAsia" w:ascii="仿宋_GB2312" w:hAnsi="仿宋_GB2312" w:eastAsia="仿宋_GB2312" w:cs="仿宋_GB2312"/>
          <w:sz w:val="32"/>
          <w:szCs w:val="32"/>
        </w:rPr>
        <w:t>构及其从业人员信用评价等级分为五个等级，即AAAAA、AAAA、AAA、AA、A级。考评等级与考评得分对应关系如下：</w:t>
      </w:r>
    </w:p>
    <w:tbl>
      <w:tblPr>
        <w:tblStyle w:val="16"/>
        <w:tblW w:w="82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8"/>
        <w:gridCol w:w="3122"/>
        <w:gridCol w:w="3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768"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序号</w:t>
            </w:r>
          </w:p>
        </w:tc>
        <w:tc>
          <w:tcPr>
            <w:tcW w:w="3122"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评价等级</w:t>
            </w:r>
          </w:p>
        </w:tc>
        <w:tc>
          <w:tcPr>
            <w:tcW w:w="3381"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768"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1</w:t>
            </w:r>
          </w:p>
        </w:tc>
        <w:tc>
          <w:tcPr>
            <w:tcW w:w="3122"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32"/>
                <w:szCs w:val="32"/>
              </w:rPr>
              <w:t>AAAAA</w:t>
            </w:r>
          </w:p>
        </w:tc>
        <w:tc>
          <w:tcPr>
            <w:tcW w:w="3381"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得分≥100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768"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2</w:t>
            </w:r>
          </w:p>
        </w:tc>
        <w:tc>
          <w:tcPr>
            <w:tcW w:w="3122"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32"/>
                <w:szCs w:val="32"/>
              </w:rPr>
              <w:t>AAAA</w:t>
            </w:r>
          </w:p>
        </w:tc>
        <w:tc>
          <w:tcPr>
            <w:tcW w:w="3381"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90≤得分＜100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768"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3</w:t>
            </w:r>
          </w:p>
        </w:tc>
        <w:tc>
          <w:tcPr>
            <w:tcW w:w="3122"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32"/>
                <w:szCs w:val="32"/>
              </w:rPr>
              <w:t>AAA</w:t>
            </w:r>
          </w:p>
        </w:tc>
        <w:tc>
          <w:tcPr>
            <w:tcW w:w="3381"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80≤得分＜90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768"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4</w:t>
            </w:r>
          </w:p>
        </w:tc>
        <w:tc>
          <w:tcPr>
            <w:tcW w:w="3122"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32"/>
                <w:szCs w:val="32"/>
              </w:rPr>
              <w:t>AA</w:t>
            </w:r>
          </w:p>
        </w:tc>
        <w:tc>
          <w:tcPr>
            <w:tcW w:w="3381"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70≤得分＜80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768"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5</w:t>
            </w:r>
          </w:p>
        </w:tc>
        <w:tc>
          <w:tcPr>
            <w:tcW w:w="3122"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A</w:t>
            </w:r>
          </w:p>
        </w:tc>
        <w:tc>
          <w:tcPr>
            <w:tcW w:w="3381" w:type="dxa"/>
            <w:vAlign w:val="center"/>
          </w:tcPr>
          <w:p>
            <w:pPr>
              <w:spacing w:line="56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60</w:t>
            </w:r>
            <w:r>
              <w:rPr>
                <w:rFonts w:hint="eastAsia" w:ascii="仿宋_GB2312" w:hAnsi="仿宋_GB2312" w:eastAsia="仿宋_GB2312" w:cs="仿宋_GB2312"/>
                <w:color w:val="auto"/>
                <w:sz w:val="28"/>
                <w:szCs w:val="32"/>
              </w:rPr>
              <w:t>＜</w:t>
            </w:r>
            <w:r>
              <w:rPr>
                <w:rFonts w:hint="eastAsia" w:ascii="仿宋_GB2312" w:hAnsi="仿宋_GB2312" w:eastAsia="仿宋_GB2312" w:cs="仿宋_GB2312"/>
                <w:sz w:val="28"/>
                <w:szCs w:val="32"/>
              </w:rPr>
              <w:t>得分＜70</w:t>
            </w:r>
          </w:p>
        </w:tc>
      </w:tr>
    </w:tbl>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未开展业务的代理机构只公开信息，不参与评级。</w:t>
      </w:r>
    </w:p>
    <w:p>
      <w:pPr>
        <w:snapToGrid w:val="0"/>
        <w:spacing w:line="560" w:lineRule="exact"/>
        <w:jc w:val="center"/>
        <w:outlineLvl w:val="0"/>
        <w:rPr>
          <w:rFonts w:ascii="黑体" w:hAnsi="黑体" w:eastAsia="黑体" w:cs="黑体"/>
          <w:bCs/>
          <w:sz w:val="32"/>
          <w:szCs w:val="32"/>
        </w:rPr>
      </w:pPr>
      <w:r>
        <w:rPr>
          <w:rFonts w:hint="eastAsia" w:ascii="黑体" w:hAnsi="黑体" w:eastAsia="黑体" w:cs="黑体"/>
          <w:bCs/>
          <w:sz w:val="32"/>
          <w:szCs w:val="32"/>
        </w:rPr>
        <w:t>第五章 信用评价程序</w:t>
      </w:r>
    </w:p>
    <w:p>
      <w:pPr>
        <w:spacing w:line="560" w:lineRule="exact"/>
        <w:ind w:firstLine="640"/>
        <w:rPr>
          <w:rFonts w:ascii="仿宋_GB2312" w:hAnsi="仿宋_GB2312" w:eastAsia="仿宋_GB2312" w:cs="仿宋_GB2312"/>
          <w:sz w:val="32"/>
          <w:szCs w:val="32"/>
        </w:rPr>
      </w:pPr>
      <w:r>
        <w:rPr>
          <w:rFonts w:hint="eastAsia" w:ascii="楷体_GB2312" w:hAnsi="楷体_GB2312" w:eastAsia="楷体_GB2312" w:cs="楷体_GB2312"/>
          <w:b/>
          <w:sz w:val="32"/>
          <w:szCs w:val="32"/>
        </w:rPr>
        <w:t>第</w:t>
      </w:r>
      <w:r>
        <w:rPr>
          <w:rFonts w:hint="eastAsia" w:ascii="楷体_GB2312" w:hAnsi="楷体_GB2312" w:eastAsia="楷体_GB2312" w:cs="楷体_GB2312"/>
          <w:b/>
          <w:sz w:val="32"/>
          <w:szCs w:val="32"/>
          <w:lang w:eastAsia="zh-CN"/>
        </w:rPr>
        <w:t>十九</w:t>
      </w:r>
      <w:r>
        <w:rPr>
          <w:rFonts w:hint="eastAsia" w:ascii="楷体_GB2312" w:hAnsi="楷体_GB2312" w:eastAsia="楷体_GB2312" w:cs="楷体_GB2312"/>
          <w:b/>
          <w:sz w:val="32"/>
          <w:szCs w:val="32"/>
        </w:rPr>
        <w:t xml:space="preserve">条 </w:t>
      </w:r>
      <w:r>
        <w:rPr>
          <w:rFonts w:hint="eastAsia" w:ascii="仿宋_GB2312" w:hAnsi="仿宋_GB2312" w:eastAsia="仿宋_GB2312" w:cs="仿宋_GB2312"/>
          <w:sz w:val="32"/>
          <w:szCs w:val="32"/>
        </w:rPr>
        <w:t>在本市为进场项目提供代理服务的代理机构及其从业人员，应按相关规定开展业务，并主动接受信用评价。评价实施单位应如实记录情况并按标准进行评价。</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第二十条</w:t>
      </w:r>
      <w:r>
        <w:rPr>
          <w:rFonts w:hint="eastAsia" w:ascii="楷体_GB2312" w:hAnsi="楷体_GB2312" w:eastAsia="楷体_GB2312" w:cs="楷体_GB2312"/>
          <w:bCs/>
          <w:sz w:val="32"/>
          <w:szCs w:val="32"/>
        </w:rPr>
        <w:t xml:space="preserve"> </w:t>
      </w:r>
      <w:r>
        <w:rPr>
          <w:rFonts w:hint="eastAsia" w:ascii="仿宋_GB2312" w:hAnsi="仿宋_GB2312" w:eastAsia="仿宋_GB2312" w:cs="仿宋_GB2312"/>
          <w:sz w:val="32"/>
          <w:szCs w:val="32"/>
        </w:rPr>
        <w:t>代理机构及其从业人员信用评价信息采取企业申报和信息采集相结合方式获取。代理机构信用评价包含其所有分支机构及其从业人员，评价信息均统一计入所属法人企业。</w:t>
      </w:r>
    </w:p>
    <w:p>
      <w:pPr>
        <w:snapToGrid w:val="0"/>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第二十</w:t>
      </w:r>
      <w:r>
        <w:rPr>
          <w:rFonts w:hint="eastAsia" w:ascii="楷体_GB2312" w:hAnsi="楷体_GB2312" w:eastAsia="楷体_GB2312" w:cs="楷体_GB2312"/>
          <w:b/>
          <w:sz w:val="32"/>
          <w:szCs w:val="32"/>
          <w:lang w:eastAsia="zh-CN"/>
        </w:rPr>
        <w:t>一</w:t>
      </w:r>
      <w:r>
        <w:rPr>
          <w:rFonts w:hint="eastAsia" w:ascii="楷体_GB2312" w:hAnsi="楷体_GB2312" w:eastAsia="楷体_GB2312" w:cs="楷体_GB2312"/>
          <w:b/>
          <w:sz w:val="32"/>
          <w:szCs w:val="32"/>
        </w:rPr>
        <w:t xml:space="preserve">条 </w:t>
      </w:r>
      <w:r>
        <w:rPr>
          <w:rFonts w:hint="eastAsia" w:ascii="仿宋_GB2312" w:hAnsi="仿宋_GB2312" w:eastAsia="仿宋_GB2312" w:cs="仿宋_GB2312"/>
          <w:color w:val="auto"/>
          <w:sz w:val="32"/>
          <w:szCs w:val="32"/>
        </w:rPr>
        <w:t>代理机构及其从业人员</w:t>
      </w:r>
      <w:r>
        <w:rPr>
          <w:rFonts w:hint="eastAsia" w:ascii="仿宋_GB2312" w:hAnsi="仿宋_GB2312" w:eastAsia="仿宋_GB2312" w:cs="仿宋_GB2312"/>
          <w:color w:val="auto"/>
          <w:sz w:val="32"/>
          <w:szCs w:val="32"/>
          <w:lang w:eastAsia="zh-CN"/>
        </w:rPr>
        <w:t>招标采购代理业务</w:t>
      </w:r>
      <w:r>
        <w:rPr>
          <w:rFonts w:hint="eastAsia" w:ascii="仿宋_GB2312" w:hAnsi="仿宋_GB2312" w:eastAsia="仿宋_GB2312" w:cs="仿宋_GB2312"/>
          <w:color w:val="auto"/>
          <w:sz w:val="32"/>
          <w:szCs w:val="32"/>
        </w:rPr>
        <w:t>受到县级及以上</w:t>
      </w:r>
      <w:r>
        <w:rPr>
          <w:rFonts w:hint="eastAsia" w:ascii="仿宋_GB2312" w:hAnsi="仿宋_GB2312" w:eastAsia="仿宋_GB2312" w:cs="仿宋_GB2312"/>
          <w:color w:val="auto"/>
          <w:sz w:val="32"/>
          <w:szCs w:val="32"/>
          <w:lang w:eastAsia="zh-CN"/>
        </w:rPr>
        <w:t>相关行政</w:t>
      </w:r>
      <w:r>
        <w:rPr>
          <w:rFonts w:hint="eastAsia" w:ascii="仿宋_GB2312" w:hAnsi="仿宋_GB2312" w:eastAsia="仿宋_GB2312" w:cs="仿宋_GB2312"/>
          <w:color w:val="auto"/>
          <w:sz w:val="32"/>
          <w:szCs w:val="32"/>
        </w:rPr>
        <w:t>主管部门表彰的奖励信息，应主动将表彰文件或者其他证明材料上</w:t>
      </w:r>
      <w:r>
        <w:rPr>
          <w:rFonts w:hint="eastAsia" w:ascii="仿宋_GB2312" w:hAnsi="仿宋_GB2312" w:eastAsia="仿宋_GB2312" w:cs="仿宋_GB2312"/>
          <w:sz w:val="32"/>
          <w:szCs w:val="32"/>
        </w:rPr>
        <w:t>报至滁州市公管局。奖励信息未申报的，不作为评价依据。</w:t>
      </w:r>
    </w:p>
    <w:p>
      <w:pPr>
        <w:widowControl/>
        <w:snapToGrid w:val="0"/>
        <w:spacing w:line="560" w:lineRule="exact"/>
        <w:ind w:firstLine="675" w:firstLineChars="210"/>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rPr>
        <w:t>第二十</w:t>
      </w:r>
      <w:r>
        <w:rPr>
          <w:rFonts w:hint="eastAsia" w:ascii="楷体_GB2312" w:hAnsi="楷体_GB2312" w:eastAsia="楷体_GB2312" w:cs="楷体_GB2312"/>
          <w:b/>
          <w:bCs/>
          <w:kern w:val="0"/>
          <w:sz w:val="32"/>
          <w:szCs w:val="32"/>
          <w:lang w:eastAsia="zh-CN"/>
        </w:rPr>
        <w:t>二</w:t>
      </w:r>
      <w:r>
        <w:rPr>
          <w:rFonts w:hint="eastAsia" w:ascii="楷体_GB2312" w:hAnsi="楷体_GB2312" w:eastAsia="楷体_GB2312" w:cs="楷体_GB2312"/>
          <w:b/>
          <w:bCs/>
          <w:kern w:val="0"/>
          <w:sz w:val="32"/>
          <w:szCs w:val="32"/>
        </w:rPr>
        <w:t xml:space="preserve">条 </w:t>
      </w:r>
      <w:r>
        <w:rPr>
          <w:rFonts w:hint="eastAsia" w:ascii="仿宋_GB2312" w:hAnsi="仿宋_GB2312" w:eastAsia="仿宋_GB2312" w:cs="仿宋_GB2312"/>
          <w:sz w:val="32"/>
          <w:szCs w:val="32"/>
        </w:rPr>
        <w:t>代理机构及其从业人员考评自当月起连续的12个月为一个信用评价周期，周期内得分实行滚动管理。其中，日常考核扣分可与奖励加分进行抵扣，基础信息得分和</w:t>
      </w:r>
      <w:r>
        <w:rPr>
          <w:rFonts w:hint="eastAsia" w:ascii="仿宋_GB2312" w:hAnsi="仿宋_GB2312" w:eastAsia="仿宋_GB2312" w:cs="仿宋_GB2312"/>
          <w:sz w:val="32"/>
          <w:szCs w:val="32"/>
          <w:lang w:eastAsia="zh-CN"/>
        </w:rPr>
        <w:t>执业能力</w:t>
      </w:r>
      <w:r>
        <w:rPr>
          <w:rFonts w:hint="eastAsia" w:ascii="仿宋_GB2312" w:hAnsi="仿宋_GB2312" w:eastAsia="仿宋_GB2312" w:cs="仿宋_GB2312"/>
          <w:sz w:val="32"/>
          <w:szCs w:val="32"/>
        </w:rPr>
        <w:t>得分不参与抵扣。</w:t>
      </w:r>
    </w:p>
    <w:p>
      <w:pPr>
        <w:widowControl/>
        <w:snapToGrid w:val="0"/>
        <w:spacing w:line="560" w:lineRule="exact"/>
        <w:ind w:firstLine="672" w:firstLineChars="210"/>
        <w:rPr>
          <w:rFonts w:ascii="仿宋_GB2312" w:hAnsi="仿宋_GB2312" w:eastAsia="仿宋_GB2312" w:cs="仿宋_GB2312"/>
          <w:sz w:val="32"/>
          <w:szCs w:val="32"/>
        </w:rPr>
      </w:pPr>
      <w:r>
        <w:rPr>
          <w:rFonts w:hint="eastAsia" w:ascii="仿宋_GB2312" w:hAnsi="仿宋_GB2312" w:eastAsia="仿宋_GB2312" w:cs="仿宋_GB2312"/>
          <w:bCs/>
          <w:sz w:val="32"/>
          <w:szCs w:val="32"/>
        </w:rPr>
        <w:t>代理机构及其</w:t>
      </w:r>
      <w:r>
        <w:rPr>
          <w:rFonts w:hint="eastAsia" w:ascii="仿宋_GB2312" w:hAnsi="仿宋_GB2312" w:eastAsia="仿宋_GB2312" w:cs="仿宋_GB2312"/>
          <w:sz w:val="32"/>
          <w:szCs w:val="32"/>
        </w:rPr>
        <w:t>从业人员受到信用评价扣分的，应当认真进行整改，并书面反馈整改情况。一个评价周期结束后，如扣分行为已整改到位，评价扣分清零重新计算；未进行整改或整改不到位的，评价扣分将延续至下个周期。</w:t>
      </w:r>
    </w:p>
    <w:p>
      <w:pPr>
        <w:adjustRightInd w:val="0"/>
        <w:snapToGrid w:val="0"/>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第二十</w:t>
      </w:r>
      <w:r>
        <w:rPr>
          <w:rFonts w:hint="eastAsia" w:ascii="楷体_GB2312" w:hAnsi="楷体_GB2312" w:eastAsia="楷体_GB2312" w:cs="楷体_GB2312"/>
          <w:b/>
          <w:sz w:val="32"/>
          <w:szCs w:val="32"/>
          <w:lang w:eastAsia="zh-CN"/>
        </w:rPr>
        <w:t>三</w:t>
      </w:r>
      <w:r>
        <w:rPr>
          <w:rFonts w:hint="eastAsia" w:ascii="楷体_GB2312" w:hAnsi="楷体_GB2312" w:eastAsia="楷体_GB2312" w:cs="楷体_GB2312"/>
          <w:b/>
          <w:sz w:val="32"/>
          <w:szCs w:val="32"/>
        </w:rPr>
        <w:t xml:space="preserve">条 </w:t>
      </w:r>
      <w:r>
        <w:rPr>
          <w:rFonts w:hint="eastAsia" w:ascii="仿宋_GB2312" w:hAnsi="仿宋_GB2312" w:eastAsia="仿宋_GB2312" w:cs="仿宋_GB2312"/>
          <w:sz w:val="32"/>
          <w:szCs w:val="32"/>
        </w:rPr>
        <w:t>代理机构及其从业人员信用评价由市公管局在每月10日前，根据代理机构上月参与公共资源交易项目代理服务评价结果进行汇总，并向社会公开。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各县（市、区）公管局（交易中心）对本地区代理机构及其从业人员进行</w:t>
      </w:r>
      <w:r>
        <w:rPr>
          <w:rFonts w:hint="eastAsia" w:ascii="仿宋_GB2312" w:hAnsi="仿宋_GB2312" w:eastAsia="仿宋_GB2312" w:cs="仿宋_GB2312"/>
          <w:bCs/>
          <w:sz w:val="32"/>
          <w:szCs w:val="32"/>
        </w:rPr>
        <w:t>信用评价</w:t>
      </w:r>
      <w:r>
        <w:rPr>
          <w:rFonts w:hint="eastAsia" w:ascii="仿宋_GB2312" w:hAnsi="仿宋_GB2312" w:eastAsia="仿宋_GB2312" w:cs="仿宋_GB2312"/>
          <w:sz w:val="32"/>
          <w:szCs w:val="32"/>
        </w:rPr>
        <w:t>的，应于每月5日前将上月信用评价信息汇总报送至市公管局。</w:t>
      </w:r>
    </w:p>
    <w:p>
      <w:pPr>
        <w:snapToGrid w:val="0"/>
        <w:spacing w:line="560" w:lineRule="exact"/>
        <w:jc w:val="center"/>
        <w:outlineLvl w:val="0"/>
        <w:rPr>
          <w:rFonts w:ascii="黑体" w:hAnsi="黑体" w:eastAsia="黑体" w:cs="仿宋_GB2312"/>
          <w:bCs/>
          <w:kern w:val="0"/>
          <w:sz w:val="32"/>
          <w:szCs w:val="32"/>
        </w:rPr>
      </w:pPr>
      <w:r>
        <w:rPr>
          <w:rFonts w:hint="eastAsia" w:ascii="黑体" w:hAnsi="黑体" w:eastAsia="黑体" w:cs="仿宋_GB2312"/>
          <w:bCs/>
          <w:sz w:val="32"/>
          <w:szCs w:val="32"/>
        </w:rPr>
        <w:t>第六章 评价结果应用</w:t>
      </w:r>
    </w:p>
    <w:p>
      <w:pPr>
        <w:snapToGrid w:val="0"/>
        <w:spacing w:line="560" w:lineRule="exact"/>
        <w:ind w:firstLine="643" w:firstLineChars="200"/>
        <w:jc w:val="left"/>
        <w:outlineLvl w:val="0"/>
        <w:rPr>
          <w:rFonts w:ascii="仿宋_GB2312" w:hAnsi="仿宋_GB2312" w:eastAsia="仿宋_GB2312" w:cs="仿宋_GB2312"/>
          <w:bCs/>
          <w:sz w:val="32"/>
          <w:szCs w:val="32"/>
        </w:rPr>
      </w:pPr>
      <w:r>
        <w:rPr>
          <w:rFonts w:hint="eastAsia" w:ascii="楷体_GB2312" w:hAnsi="楷体_GB2312" w:eastAsia="楷体_GB2312" w:cs="楷体_GB2312"/>
          <w:b/>
          <w:sz w:val="32"/>
          <w:szCs w:val="32"/>
        </w:rPr>
        <w:t>第二十</w:t>
      </w:r>
      <w:r>
        <w:rPr>
          <w:rFonts w:hint="eastAsia" w:ascii="楷体_GB2312" w:hAnsi="楷体_GB2312" w:eastAsia="楷体_GB2312" w:cs="楷体_GB2312"/>
          <w:b/>
          <w:sz w:val="32"/>
          <w:szCs w:val="32"/>
          <w:lang w:eastAsia="zh-CN"/>
        </w:rPr>
        <w:t>四</w:t>
      </w:r>
      <w:r>
        <w:rPr>
          <w:rFonts w:hint="eastAsia" w:ascii="楷体_GB2312" w:hAnsi="楷体_GB2312" w:eastAsia="楷体_GB2312" w:cs="楷体_GB2312"/>
          <w:b/>
          <w:sz w:val="32"/>
          <w:szCs w:val="32"/>
        </w:rPr>
        <w:t>条</w:t>
      </w:r>
      <w:r>
        <w:rPr>
          <w:rFonts w:hint="eastAsia" w:ascii="仿宋_GB2312" w:hAnsi="仿宋_GB2312" w:eastAsia="仿宋_GB2312" w:cs="仿宋_GB2312"/>
          <w:bCs/>
          <w:sz w:val="32"/>
          <w:szCs w:val="32"/>
        </w:rPr>
        <w:t xml:space="preserve"> 代理机构及其从业人员信用评价结果应用包括信息披露、信用评级和暂停系统操作权限。</w:t>
      </w:r>
    </w:p>
    <w:p>
      <w:pPr>
        <w:snapToGrid w:val="0"/>
        <w:spacing w:line="560" w:lineRule="exact"/>
        <w:ind w:firstLine="643" w:firstLineChars="200"/>
        <w:jc w:val="left"/>
        <w:outlineLvl w:val="0"/>
        <w:rPr>
          <w:rFonts w:ascii="仿宋_GB2312" w:hAnsi="仿宋_GB2312" w:eastAsia="仿宋_GB2312" w:cs="仿宋_GB2312"/>
          <w:bCs/>
          <w:sz w:val="32"/>
          <w:szCs w:val="32"/>
        </w:rPr>
      </w:pPr>
      <w:r>
        <w:rPr>
          <w:rFonts w:hint="eastAsia" w:ascii="楷体_GB2312" w:hAnsi="楷体_GB2312" w:eastAsia="楷体_GB2312" w:cs="楷体_GB2312"/>
          <w:b/>
          <w:sz w:val="32"/>
          <w:szCs w:val="32"/>
        </w:rPr>
        <w:t>第二十</w:t>
      </w:r>
      <w:r>
        <w:rPr>
          <w:rFonts w:hint="eastAsia" w:ascii="楷体_GB2312" w:hAnsi="楷体_GB2312" w:eastAsia="楷体_GB2312" w:cs="楷体_GB2312"/>
          <w:b/>
          <w:sz w:val="32"/>
          <w:szCs w:val="32"/>
          <w:lang w:eastAsia="zh-CN"/>
        </w:rPr>
        <w:t>五</w:t>
      </w:r>
      <w:r>
        <w:rPr>
          <w:rFonts w:hint="eastAsia" w:ascii="楷体_GB2312" w:hAnsi="楷体_GB2312" w:eastAsia="楷体_GB2312" w:cs="楷体_GB2312"/>
          <w:b/>
          <w:sz w:val="32"/>
          <w:szCs w:val="32"/>
        </w:rPr>
        <w:t xml:space="preserve">条 </w:t>
      </w:r>
      <w:r>
        <w:rPr>
          <w:rFonts w:hint="eastAsia" w:ascii="仿宋_GB2312" w:hAnsi="仿宋_GB2312" w:eastAsia="仿宋_GB2312" w:cs="仿宋_GB2312"/>
          <w:sz w:val="32"/>
          <w:szCs w:val="32"/>
        </w:rPr>
        <w:t>各县（市、区）</w:t>
      </w:r>
      <w:r>
        <w:rPr>
          <w:rFonts w:hint="eastAsia" w:ascii="仿宋_GB2312" w:hAnsi="仿宋_GB2312" w:eastAsia="仿宋_GB2312" w:cs="仿宋_GB2312"/>
          <w:bCs/>
          <w:sz w:val="32"/>
          <w:szCs w:val="32"/>
        </w:rPr>
        <w:t>公管局（交易中心）对</w:t>
      </w:r>
      <w:r>
        <w:rPr>
          <w:rFonts w:hint="eastAsia" w:ascii="仿宋_GB2312" w:hAnsi="仿宋_GB2312" w:eastAsia="仿宋_GB2312" w:cs="仿宋_GB2312"/>
          <w:sz w:val="32"/>
          <w:szCs w:val="32"/>
        </w:rPr>
        <w:t>信用评价</w:t>
      </w:r>
      <w:r>
        <w:rPr>
          <w:rFonts w:hint="eastAsia" w:ascii="仿宋_GB2312" w:hAnsi="仿宋_GB2312" w:eastAsia="仿宋_GB2312" w:cs="仿宋_GB2312"/>
          <w:bCs/>
          <w:sz w:val="32"/>
          <w:szCs w:val="32"/>
        </w:rPr>
        <w:t>等级AAAAA级的代理机构及其从业人员可给予以下激励性措施：</w:t>
      </w:r>
    </w:p>
    <w:p>
      <w:pPr>
        <w:snapToGrid w:val="0"/>
        <w:spacing w:line="560" w:lineRule="exact"/>
        <w:ind w:firstLine="640" w:firstLineChars="200"/>
        <w:jc w:val="left"/>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（一）对其进场办理代理服务事项提供优先服务；</w:t>
      </w:r>
    </w:p>
    <w:p>
      <w:pPr>
        <w:snapToGrid w:val="0"/>
        <w:spacing w:line="560" w:lineRule="exact"/>
        <w:ind w:firstLine="640" w:firstLineChars="200"/>
        <w:jc w:val="left"/>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（二）优先推荐参与行业管理部门或协会组织的调研、学术研究等活动；</w:t>
      </w:r>
    </w:p>
    <w:p>
      <w:pPr>
        <w:snapToGrid w:val="0"/>
        <w:spacing w:line="560" w:lineRule="exact"/>
        <w:ind w:firstLine="640" w:firstLineChars="200"/>
        <w:jc w:val="left"/>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（三）优先推荐在杂志、报纸、网站等新闻媒介刊登宣传；</w:t>
      </w:r>
    </w:p>
    <w:p>
      <w:pPr>
        <w:snapToGrid w:val="0"/>
        <w:spacing w:line="560" w:lineRule="exact"/>
        <w:ind w:firstLine="640" w:firstLineChars="200"/>
        <w:jc w:val="left"/>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四</w:t>
      </w:r>
      <w:r>
        <w:rPr>
          <w:rFonts w:hint="eastAsia" w:ascii="仿宋_GB2312" w:hAnsi="仿宋_GB2312" w:eastAsia="仿宋_GB2312" w:cs="仿宋_GB2312"/>
          <w:bCs/>
          <w:sz w:val="32"/>
          <w:szCs w:val="32"/>
        </w:rPr>
        <w:t>）国家或地方规定的其他激励性措施。</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第二十</w:t>
      </w:r>
      <w:r>
        <w:rPr>
          <w:rFonts w:hint="eastAsia" w:ascii="楷体_GB2312" w:hAnsi="楷体_GB2312" w:eastAsia="楷体_GB2312" w:cs="楷体_GB2312"/>
          <w:b/>
          <w:bCs/>
          <w:sz w:val="32"/>
          <w:szCs w:val="32"/>
          <w:lang w:eastAsia="zh-CN"/>
        </w:rPr>
        <w:t>六</w:t>
      </w:r>
      <w:r>
        <w:rPr>
          <w:rFonts w:hint="eastAsia" w:ascii="楷体_GB2312" w:hAnsi="楷体_GB2312" w:eastAsia="楷体_GB2312" w:cs="楷体_GB2312"/>
          <w:b/>
          <w:bCs/>
          <w:sz w:val="32"/>
          <w:szCs w:val="32"/>
        </w:rPr>
        <w:t xml:space="preserve">条 </w:t>
      </w:r>
      <w:r>
        <w:rPr>
          <w:rFonts w:hint="eastAsia" w:ascii="仿宋_GB2312" w:hAnsi="仿宋_GB2312" w:eastAsia="仿宋_GB2312" w:cs="仿宋_GB2312"/>
          <w:sz w:val="32"/>
          <w:szCs w:val="32"/>
        </w:rPr>
        <w:t>代理机构在公共资源交易活动中的信用评价扣分按照以下方式处理：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（一）代理机构在评价周期内扣分分值累计达10分的，暂停公共资源交易系统操作权限一个月；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（二）代理机构在评价周期内扣分分值累计达15分的，暂停公共资源交易系统操作权限三个月；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（三）代理机构在评价周期内扣分分值累计达20分的，暂停公共资源交易系统操作权限六个月；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（四）代理机构在评价周期内扣分分值累计达30分及以上的，暂停公共资源交易系统操作权限十二个月。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暂停系统操作权限期间的加分，不影响暂停处理结果的执行。暂停期满，代理机构应将整改</w:t>
      </w:r>
      <w:r>
        <w:rPr>
          <w:rFonts w:hint="eastAsia" w:ascii="仿宋_GB2312" w:hAnsi="仿宋_GB2312" w:eastAsia="仿宋_GB2312" w:cs="仿宋_GB2312"/>
          <w:sz w:val="32"/>
          <w:szCs w:val="32"/>
          <w:lang w:eastAsia="zh-CN"/>
        </w:rPr>
        <w:t>合格情况</w:t>
      </w:r>
      <w:r>
        <w:rPr>
          <w:rFonts w:hint="eastAsia" w:ascii="仿宋_GB2312" w:hAnsi="仿宋_GB2312" w:eastAsia="仿宋_GB2312" w:cs="仿宋_GB2312"/>
          <w:sz w:val="32"/>
          <w:szCs w:val="32"/>
        </w:rPr>
        <w:t>书面</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rPr>
        <w:t>滁州市公管局</w:t>
      </w:r>
      <w:r>
        <w:rPr>
          <w:rFonts w:hint="eastAsia" w:ascii="仿宋_GB2312" w:hAnsi="仿宋_GB2312" w:eastAsia="仿宋_GB2312" w:cs="仿宋_GB2312"/>
          <w:sz w:val="32"/>
          <w:szCs w:val="32"/>
          <w:lang w:eastAsia="zh-CN"/>
        </w:rPr>
        <w:t>同意后</w:t>
      </w:r>
      <w:r>
        <w:rPr>
          <w:rFonts w:hint="eastAsia" w:ascii="仿宋_GB2312" w:hAnsi="仿宋_GB2312" w:eastAsia="仿宋_GB2312" w:cs="仿宋_GB2312"/>
          <w:sz w:val="32"/>
          <w:szCs w:val="32"/>
        </w:rPr>
        <w:t>，开通交易系统相关操作权限。</w:t>
      </w:r>
    </w:p>
    <w:p>
      <w:pPr>
        <w:snapToGrid w:val="0"/>
        <w:spacing w:line="560" w:lineRule="exact"/>
        <w:ind w:firstLine="643" w:firstLineChars="200"/>
        <w:jc w:val="left"/>
        <w:outlineLvl w:val="0"/>
        <w:rPr>
          <w:rFonts w:ascii="仿宋_GB2312" w:hAnsi="仿宋_GB2312" w:eastAsia="仿宋_GB2312" w:cs="仿宋_GB2312"/>
          <w:bCs/>
          <w:sz w:val="32"/>
          <w:szCs w:val="32"/>
        </w:rPr>
      </w:pPr>
      <w:r>
        <w:rPr>
          <w:rFonts w:hint="eastAsia" w:ascii="楷体_GB2312" w:hAnsi="楷体_GB2312" w:eastAsia="楷体_GB2312" w:cs="楷体_GB2312"/>
          <w:b/>
          <w:bCs/>
          <w:sz w:val="32"/>
          <w:szCs w:val="32"/>
        </w:rPr>
        <w:t>第二十</w:t>
      </w:r>
      <w:r>
        <w:rPr>
          <w:rFonts w:hint="eastAsia" w:ascii="楷体_GB2312" w:hAnsi="楷体_GB2312" w:eastAsia="楷体_GB2312" w:cs="楷体_GB2312"/>
          <w:b/>
          <w:bCs/>
          <w:sz w:val="32"/>
          <w:szCs w:val="32"/>
          <w:lang w:eastAsia="zh-CN"/>
        </w:rPr>
        <w:t>七</w:t>
      </w:r>
      <w:r>
        <w:rPr>
          <w:rFonts w:hint="eastAsia" w:ascii="楷体_GB2312" w:hAnsi="楷体_GB2312" w:eastAsia="楷体_GB2312" w:cs="楷体_GB2312"/>
          <w:b/>
          <w:bCs/>
          <w:sz w:val="32"/>
          <w:szCs w:val="32"/>
        </w:rPr>
        <w:t>条</w:t>
      </w:r>
      <w:r>
        <w:rPr>
          <w:rFonts w:hint="eastAsia" w:ascii="仿宋_GB2312" w:hAnsi="仿宋_GB2312" w:eastAsia="仿宋_GB2312" w:cs="仿宋_GB2312"/>
          <w:bCs/>
          <w:sz w:val="32"/>
          <w:szCs w:val="32"/>
        </w:rPr>
        <w:t xml:space="preserve"> 代理机构及其从业人员信用评价结果将共享给省、市行业主管部门及相关职能部门，推动代理机构信用评价结果在招标采购、评先评优等工作中的应用，促进代理机构主动提升服务质量，提高信用评价等级。</w:t>
      </w:r>
    </w:p>
    <w:p>
      <w:pPr>
        <w:snapToGrid w:val="0"/>
        <w:spacing w:line="560" w:lineRule="exact"/>
        <w:jc w:val="center"/>
        <w:outlineLvl w:val="0"/>
        <w:rPr>
          <w:rFonts w:ascii="黑体" w:hAnsi="黑体" w:eastAsia="黑体" w:cs="仿宋_GB2312"/>
          <w:bCs/>
          <w:sz w:val="32"/>
          <w:szCs w:val="32"/>
        </w:rPr>
      </w:pPr>
      <w:r>
        <w:rPr>
          <w:rFonts w:hint="eastAsia" w:ascii="黑体" w:hAnsi="黑体" w:eastAsia="黑体" w:cs="仿宋_GB2312"/>
          <w:bCs/>
          <w:sz w:val="32"/>
          <w:szCs w:val="32"/>
        </w:rPr>
        <w:t>第七章 参评主体权益保护</w:t>
      </w:r>
    </w:p>
    <w:p>
      <w:pPr>
        <w:spacing w:line="560" w:lineRule="exact"/>
        <w:ind w:firstLine="640"/>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rPr>
        <w:t>第二十</w:t>
      </w:r>
      <w:r>
        <w:rPr>
          <w:rFonts w:hint="eastAsia" w:ascii="楷体_GB2312" w:hAnsi="楷体_GB2312" w:eastAsia="楷体_GB2312" w:cs="楷体_GB2312"/>
          <w:b/>
          <w:bCs/>
          <w:kern w:val="0"/>
          <w:sz w:val="32"/>
          <w:szCs w:val="32"/>
          <w:lang w:eastAsia="zh-CN"/>
        </w:rPr>
        <w:t>八</w:t>
      </w:r>
      <w:r>
        <w:rPr>
          <w:rFonts w:hint="eastAsia" w:ascii="楷体_GB2312" w:hAnsi="楷体_GB2312" w:eastAsia="楷体_GB2312" w:cs="楷体_GB2312"/>
          <w:b/>
          <w:bCs/>
          <w:kern w:val="0"/>
          <w:sz w:val="32"/>
          <w:szCs w:val="32"/>
        </w:rPr>
        <w:t xml:space="preserve">条 </w:t>
      </w:r>
      <w:r>
        <w:rPr>
          <w:rFonts w:hint="eastAsia" w:ascii="仿宋_GB2312" w:hAnsi="仿宋_GB2312" w:eastAsia="仿宋_GB2312" w:cs="仿宋_GB2312"/>
          <w:bCs/>
          <w:sz w:val="32"/>
          <w:szCs w:val="32"/>
        </w:rPr>
        <w:t>代理机构及其</w:t>
      </w:r>
      <w:r>
        <w:rPr>
          <w:rFonts w:hint="eastAsia" w:ascii="仿宋_GB2312" w:hAnsi="仿宋_GB2312" w:eastAsia="仿宋_GB2312" w:cs="仿宋_GB2312"/>
          <w:sz w:val="32"/>
          <w:szCs w:val="32"/>
        </w:rPr>
        <w:t>从业人员对</w:t>
      </w:r>
      <w:r>
        <w:rPr>
          <w:rFonts w:hint="eastAsia" w:ascii="仿宋_GB2312" w:hAnsi="仿宋_GB2312" w:eastAsia="仿宋_GB2312" w:cs="仿宋_GB2312"/>
          <w:bCs/>
          <w:sz w:val="32"/>
          <w:szCs w:val="32"/>
        </w:rPr>
        <w:t>信用评价</w:t>
      </w:r>
      <w:r>
        <w:rPr>
          <w:rFonts w:hint="eastAsia" w:ascii="仿宋_GB2312" w:hAnsi="仿宋_GB2312" w:eastAsia="仿宋_GB2312" w:cs="仿宋_GB2312"/>
          <w:sz w:val="32"/>
          <w:szCs w:val="32"/>
        </w:rPr>
        <w:t>结果有异议的，可自知道之日起3个工作日内，通过书面形式向评价实施单位提出申诉，并提供相关证据材料。如复核确认评价实施单位有误的，评价实施单位应自确认之日起3个工作日内予以更正。</w:t>
      </w:r>
    </w:p>
    <w:p>
      <w:pPr>
        <w:spacing w:line="560" w:lineRule="exact"/>
        <w:ind w:firstLine="640"/>
        <w:rPr>
          <w:rFonts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第</w:t>
      </w:r>
      <w:r>
        <w:rPr>
          <w:rFonts w:hint="eastAsia" w:ascii="楷体_GB2312" w:hAnsi="楷体_GB2312" w:eastAsia="楷体_GB2312" w:cs="楷体_GB2312"/>
          <w:b/>
          <w:bCs/>
          <w:kern w:val="0"/>
          <w:sz w:val="32"/>
          <w:szCs w:val="32"/>
          <w:lang w:eastAsia="zh-CN"/>
        </w:rPr>
        <w:t>二十九</w:t>
      </w:r>
      <w:r>
        <w:rPr>
          <w:rFonts w:hint="eastAsia" w:ascii="楷体_GB2312" w:hAnsi="楷体_GB2312" w:eastAsia="楷体_GB2312" w:cs="楷体_GB2312"/>
          <w:b/>
          <w:bCs/>
          <w:kern w:val="0"/>
          <w:sz w:val="32"/>
          <w:szCs w:val="32"/>
        </w:rPr>
        <w:t xml:space="preserve">条 </w:t>
      </w:r>
      <w:r>
        <w:rPr>
          <w:rFonts w:hint="eastAsia" w:ascii="仿宋_GB2312" w:hAnsi="仿宋_GB2312" w:eastAsia="仿宋_GB2312" w:cs="仿宋_GB2312"/>
          <w:bCs/>
          <w:sz w:val="32"/>
          <w:szCs w:val="32"/>
        </w:rPr>
        <w:t>代理机构及其</w:t>
      </w:r>
      <w:r>
        <w:rPr>
          <w:rFonts w:hint="eastAsia" w:ascii="仿宋_GB2312" w:hAnsi="仿宋_GB2312" w:eastAsia="仿宋_GB2312" w:cs="仿宋_GB2312"/>
          <w:sz w:val="32"/>
          <w:szCs w:val="32"/>
        </w:rPr>
        <w:t>从业人员在代理服务过程中有涉及违法犯罪的行为，应移交有关部门处理。</w:t>
      </w:r>
    </w:p>
    <w:p>
      <w:pPr>
        <w:snapToGrid w:val="0"/>
        <w:spacing w:line="560" w:lineRule="exact"/>
        <w:jc w:val="center"/>
        <w:outlineLvl w:val="0"/>
        <w:rPr>
          <w:rFonts w:ascii="楷体_GB2312" w:hAnsi="楷体_GB2312" w:eastAsia="楷体_GB2312" w:cs="楷体_GB2312"/>
          <w:kern w:val="0"/>
          <w:sz w:val="32"/>
          <w:szCs w:val="32"/>
        </w:rPr>
      </w:pPr>
      <w:r>
        <w:rPr>
          <w:rFonts w:hint="eastAsia" w:ascii="黑体" w:hAnsi="黑体" w:eastAsia="黑体" w:cs="黑体"/>
          <w:bCs/>
          <w:sz w:val="32"/>
          <w:szCs w:val="32"/>
        </w:rPr>
        <w:t>第八章　附则</w:t>
      </w:r>
    </w:p>
    <w:p>
      <w:pPr>
        <w:widowControl/>
        <w:spacing w:line="560" w:lineRule="exact"/>
        <w:ind w:firstLine="640"/>
        <w:rPr>
          <w:rFonts w:ascii="仿宋_GB2312" w:hAnsi="仿宋_GB2312" w:eastAsia="仿宋_GB2312" w:cs="仿宋_GB2312"/>
          <w:sz w:val="32"/>
          <w:szCs w:val="32"/>
        </w:rPr>
      </w:pPr>
      <w:r>
        <w:rPr>
          <w:rFonts w:hint="eastAsia" w:ascii="楷体_GB2312" w:hAnsi="楷体_GB2312" w:eastAsia="楷体_GB2312" w:cs="楷体_GB2312"/>
          <w:b/>
          <w:bCs/>
          <w:sz w:val="32"/>
          <w:szCs w:val="32"/>
        </w:rPr>
        <w:t xml:space="preserve">第三十条 </w:t>
      </w:r>
      <w:r>
        <w:rPr>
          <w:rFonts w:hint="eastAsia" w:ascii="仿宋_GB2312" w:hAnsi="仿宋_GB2312" w:eastAsia="仿宋_GB2312" w:cs="仿宋_GB2312"/>
          <w:sz w:val="32"/>
          <w:szCs w:val="32"/>
        </w:rPr>
        <w:t>参与代理机构及其从业人员管理的工作人员必须坚持客观公正原则，恪尽职守，不得徇私舞弊，以权谋私。工作人员存在违法、违纪行为的，由有关部门按照相关规定追究其责任。</w:t>
      </w:r>
    </w:p>
    <w:p>
      <w:pPr>
        <w:spacing w:line="560" w:lineRule="exact"/>
        <w:ind w:firstLine="643" w:firstLineChars="200"/>
        <w:rPr>
          <w:rFonts w:ascii="仿宋_GB2312" w:hAnsi="仿宋_GB2312" w:eastAsia="仿宋_GB2312" w:cs="仿宋_GB2312"/>
          <w:b/>
          <w:sz w:val="32"/>
          <w:szCs w:val="32"/>
        </w:rPr>
      </w:pPr>
      <w:r>
        <w:rPr>
          <w:rFonts w:hint="eastAsia" w:ascii="楷体_GB2312" w:hAnsi="楷体_GB2312" w:eastAsia="楷体_GB2312" w:cs="楷体_GB2312"/>
          <w:b/>
          <w:bCs/>
          <w:kern w:val="0"/>
          <w:sz w:val="32"/>
          <w:szCs w:val="32"/>
        </w:rPr>
        <w:t>第三十</w:t>
      </w:r>
      <w:r>
        <w:rPr>
          <w:rFonts w:hint="eastAsia" w:ascii="楷体_GB2312" w:hAnsi="楷体_GB2312" w:eastAsia="楷体_GB2312" w:cs="楷体_GB2312"/>
          <w:b/>
          <w:bCs/>
          <w:kern w:val="0"/>
          <w:sz w:val="32"/>
          <w:szCs w:val="32"/>
          <w:lang w:eastAsia="zh-CN"/>
        </w:rPr>
        <w:t>一</w:t>
      </w:r>
      <w:r>
        <w:rPr>
          <w:rFonts w:hint="eastAsia" w:ascii="楷体_GB2312" w:hAnsi="楷体_GB2312" w:eastAsia="楷体_GB2312" w:cs="楷体_GB2312"/>
          <w:b/>
          <w:bCs/>
          <w:kern w:val="0"/>
          <w:sz w:val="32"/>
          <w:szCs w:val="32"/>
        </w:rPr>
        <w:t xml:space="preserve">条 </w:t>
      </w:r>
      <w:r>
        <w:rPr>
          <w:rFonts w:hint="eastAsia" w:ascii="仿宋_GB2312" w:hAnsi="仿宋_GB2312" w:eastAsia="仿宋_GB2312" w:cs="仿宋_GB2312"/>
          <w:sz w:val="32"/>
          <w:szCs w:val="32"/>
        </w:rPr>
        <w:t>法律法规和国家、省行政主管部门有关于公共资源交易代理机构管理明确规定的，从其规定。</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rPr>
        <w:t>第三十</w:t>
      </w:r>
      <w:r>
        <w:rPr>
          <w:rFonts w:hint="eastAsia" w:ascii="楷体_GB2312" w:hAnsi="楷体_GB2312" w:eastAsia="楷体_GB2312" w:cs="楷体_GB2312"/>
          <w:b/>
          <w:bCs/>
          <w:kern w:val="0"/>
          <w:sz w:val="32"/>
          <w:szCs w:val="32"/>
          <w:lang w:eastAsia="zh-CN"/>
        </w:rPr>
        <w:t>二</w:t>
      </w:r>
      <w:r>
        <w:rPr>
          <w:rFonts w:hint="eastAsia" w:ascii="楷体_GB2312" w:hAnsi="楷体_GB2312" w:eastAsia="楷体_GB2312" w:cs="楷体_GB2312"/>
          <w:b/>
          <w:bCs/>
          <w:kern w:val="0"/>
          <w:sz w:val="32"/>
          <w:szCs w:val="32"/>
        </w:rPr>
        <w:t>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本办法由滁州市公管局负责解释。各县（市）区遵照执行。</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rPr>
        <w:t>第三十</w:t>
      </w:r>
      <w:r>
        <w:rPr>
          <w:rFonts w:hint="eastAsia" w:ascii="楷体_GB2312" w:hAnsi="楷体_GB2312" w:eastAsia="楷体_GB2312" w:cs="楷体_GB2312"/>
          <w:b/>
          <w:bCs/>
          <w:kern w:val="0"/>
          <w:sz w:val="32"/>
          <w:szCs w:val="32"/>
          <w:lang w:eastAsia="zh-CN"/>
        </w:rPr>
        <w:t>三</w:t>
      </w:r>
      <w:r>
        <w:rPr>
          <w:rFonts w:hint="eastAsia" w:ascii="楷体_GB2312" w:hAnsi="楷体_GB2312" w:eastAsia="楷体_GB2312" w:cs="楷体_GB2312"/>
          <w:b/>
          <w:bCs/>
          <w:kern w:val="0"/>
          <w:sz w:val="32"/>
          <w:szCs w:val="32"/>
        </w:rPr>
        <w:t>条</w:t>
      </w:r>
      <w:r>
        <w:rPr>
          <w:rFonts w:hint="eastAsia" w:ascii="仿宋_GB2312" w:hAnsi="仿宋_GB2312" w:eastAsia="仿宋_GB2312" w:cs="仿宋_GB2312"/>
          <w:b/>
          <w:bCs/>
          <w:kern w:val="0"/>
          <w:sz w:val="32"/>
          <w:szCs w:val="32"/>
          <w:lang w:val="en-US" w:eastAsia="zh-CN"/>
        </w:rPr>
        <w:t xml:space="preserve"> </w:t>
      </w:r>
      <w:r>
        <w:rPr>
          <w:rFonts w:hint="eastAsia" w:ascii="仿宋_GB2312" w:hAnsi="仿宋_GB2312" w:eastAsia="仿宋_GB2312" w:cs="仿宋_GB2312"/>
          <w:sz w:val="32"/>
          <w:szCs w:val="32"/>
        </w:rPr>
        <w:t>本办法自2023年1月1日起施行，《滁州市公共资源交易代理机构及从业人员考评管理办法》（滁公管〔2021〕8号文）同时废止。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附件：1.信用承诺书</w:t>
      </w:r>
    </w:p>
    <w:p>
      <w:pPr>
        <w:spacing w:line="560" w:lineRule="exact"/>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2.代理机构选取流程</w:t>
      </w:r>
    </w:p>
    <w:p>
      <w:pPr>
        <w:spacing w:line="560" w:lineRule="exact"/>
        <w:ind w:firstLine="640" w:firstLineChars="200"/>
        <w:jc w:val="left"/>
        <w:outlineLvl w:val="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 xml:space="preserve">      3.滁州市公共资源交易代理机构信用评价暂行标准</w:t>
      </w:r>
    </w:p>
    <w:p>
      <w:pPr>
        <w:spacing w:line="560" w:lineRule="exact"/>
        <w:jc w:val="left"/>
        <w:outlineLvl w:val="0"/>
        <w:rPr>
          <w:rFonts w:hint="eastAsia" w:ascii="仿宋_GB2312" w:hAnsi="仿宋_GB2312" w:eastAsia="仿宋_GB2312" w:cs="仿宋_GB2312"/>
          <w:kern w:val="0"/>
          <w:sz w:val="32"/>
          <w:szCs w:val="32"/>
        </w:rPr>
      </w:pPr>
    </w:p>
    <w:p>
      <w:pPr>
        <w:pStyle w:val="2"/>
        <w:rPr>
          <w:rFonts w:hint="eastAsia" w:ascii="仿宋_GB2312" w:hAnsi="仿宋_GB2312" w:eastAsia="仿宋_GB2312" w:cs="仿宋_GB2312"/>
          <w:kern w:val="0"/>
          <w:sz w:val="32"/>
          <w:szCs w:val="32"/>
        </w:rPr>
      </w:pPr>
    </w:p>
    <w:p>
      <w:pPr>
        <w:pStyle w:val="2"/>
        <w:rPr>
          <w:rFonts w:hint="eastAsia" w:ascii="仿宋_GB2312" w:hAnsi="仿宋_GB2312" w:eastAsia="仿宋_GB2312" w:cs="仿宋_GB2312"/>
          <w:kern w:val="0"/>
          <w:sz w:val="32"/>
          <w:szCs w:val="32"/>
        </w:rPr>
      </w:pPr>
    </w:p>
    <w:p>
      <w:pPr>
        <w:pStyle w:val="2"/>
        <w:rPr>
          <w:rFonts w:hint="eastAsia" w:ascii="仿宋_GB2312" w:hAnsi="仿宋_GB2312" w:eastAsia="仿宋_GB2312" w:cs="仿宋_GB2312"/>
          <w:kern w:val="0"/>
          <w:sz w:val="32"/>
          <w:szCs w:val="32"/>
        </w:rPr>
      </w:pPr>
    </w:p>
    <w:p>
      <w:pPr>
        <w:pStyle w:val="2"/>
        <w:rPr>
          <w:rFonts w:hint="eastAsia" w:ascii="仿宋_GB2312" w:hAnsi="仿宋_GB2312" w:eastAsia="仿宋_GB2312" w:cs="仿宋_GB2312"/>
          <w:kern w:val="0"/>
          <w:sz w:val="32"/>
          <w:szCs w:val="32"/>
        </w:rPr>
      </w:pPr>
    </w:p>
    <w:p>
      <w:pPr>
        <w:pStyle w:val="2"/>
        <w:rPr>
          <w:rFonts w:hint="eastAsia" w:ascii="仿宋_GB2312" w:hAnsi="仿宋_GB2312" w:eastAsia="仿宋_GB2312" w:cs="仿宋_GB2312"/>
          <w:kern w:val="0"/>
          <w:sz w:val="32"/>
          <w:szCs w:val="32"/>
        </w:rPr>
      </w:pPr>
    </w:p>
    <w:p>
      <w:pPr>
        <w:spacing w:line="560" w:lineRule="exact"/>
        <w:jc w:val="left"/>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附件1</w:t>
      </w:r>
    </w:p>
    <w:p>
      <w:pPr>
        <w:spacing w:line="56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信用承诺书</w:t>
      </w:r>
    </w:p>
    <w:p>
      <w:pPr>
        <w:spacing w:line="560" w:lineRule="exact"/>
        <w:rPr>
          <w:rFonts w:ascii="仿宋" w:hAnsi="仿宋" w:eastAsia="仿宋"/>
          <w:sz w:val="30"/>
          <w:szCs w:val="30"/>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致：滁州市公共资源交易监督管理局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我单位企业法人、企业法定代表人和公共资源交易代理服务专职从业人员未被各级人民法院列入失信被执行人名单，企业法人未被市场监督管理部门在全国企业信用信息公示系统中列入严重违法失信企业名单；无因公共资源交易代理服务违法违规行为受到有关行政主管部门行政处罚且在限制期限内；无在企业信息登记和登记信息中存在弄虚作假。对于《滁州市公共资源交易代理机构及从业人员管理暂行办法》及《滁州市公共资源交易代理机构信用评价暂行标准》清晰准确了解，并对信用评价和处理结果认可。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进入滁州市公共资源交易中心从事进场项目代理服务过程中，如出现违反法律、法规或《滁州市公共资源交易代理机构及从业人员管理暂行办法》等规定，自愿接受滁州市公共资源交易监督管理局的监管和处理，同时在相关网站进行公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特此承诺。 </w:t>
      </w:r>
    </w:p>
    <w:p>
      <w:pPr>
        <w:spacing w:line="560" w:lineRule="exact"/>
        <w:ind w:right="600" w:firstLine="2720" w:firstLineChars="8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right="6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单位名称（承诺人）：  </w:t>
      </w:r>
    </w:p>
    <w:p>
      <w:pPr>
        <w:spacing w:line="560" w:lineRule="exact"/>
        <w:ind w:right="600"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法定代表人（签字并加盖单位公章）：  </w:t>
      </w:r>
    </w:p>
    <w:p>
      <w:pPr>
        <w:spacing w:line="560" w:lineRule="exact"/>
        <w:rPr>
          <w:rFonts w:ascii="仿宋" w:hAnsi="仿宋" w:eastAsia="仿宋"/>
          <w:sz w:val="30"/>
          <w:szCs w:val="30"/>
        </w:rPr>
      </w:pPr>
      <w:r>
        <w:rPr>
          <w:rFonts w:hint="eastAsia" w:ascii="仿宋_GB2312" w:hAnsi="仿宋_GB2312" w:eastAsia="仿宋_GB2312" w:cs="仿宋_GB2312"/>
          <w:sz w:val="32"/>
          <w:szCs w:val="32"/>
        </w:rPr>
        <w:t xml:space="preserve">                                          年    月   日</w:t>
      </w:r>
    </w:p>
    <w:p>
      <w:pPr>
        <w:ind w:right="600"/>
        <w:rPr>
          <w:rFonts w:ascii="仿宋" w:hAnsi="仿宋" w:eastAsia="仿宋"/>
          <w:sz w:val="30"/>
          <w:szCs w:val="30"/>
        </w:rPr>
      </w:pPr>
    </w:p>
    <w:p>
      <w:pPr>
        <w:spacing w:line="560" w:lineRule="exact"/>
        <w:jc w:val="left"/>
        <w:outlineLvl w:val="0"/>
        <w:rPr>
          <w:rFonts w:ascii="仿宋_GB2312" w:hAnsi="仿宋_GB2312" w:eastAsia="仿宋_GB2312" w:cs="仿宋_GB2312"/>
          <w:kern w:val="0"/>
          <w:sz w:val="36"/>
          <w:szCs w:val="36"/>
        </w:rPr>
      </w:pPr>
      <w:r>
        <w:rPr>
          <w:rFonts w:hint="eastAsia" w:ascii="仿宋_GB2312" w:hAnsi="仿宋_GB2312" w:eastAsia="仿宋_GB2312" w:cs="仿宋_GB2312"/>
          <w:kern w:val="0"/>
          <w:sz w:val="32"/>
          <w:szCs w:val="32"/>
        </w:rPr>
        <w:t>附件2</w:t>
      </w:r>
    </w:p>
    <w:p>
      <w:pPr>
        <w:spacing w:line="560" w:lineRule="exact"/>
        <w:jc w:val="center"/>
        <w:rPr>
          <w:rFonts w:ascii="黑体" w:hAnsi="黑体" w:eastAsia="黑体"/>
          <w:b/>
          <w:sz w:val="44"/>
          <w:szCs w:val="44"/>
        </w:rPr>
      </w:pPr>
      <w:r>
        <w:rPr>
          <w:rFonts w:hint="eastAsia" w:ascii="方正小标宋_GBK" w:hAnsi="方正小标宋_GBK" w:eastAsia="方正小标宋_GBK" w:cs="方正小标宋_GBK"/>
          <w:bCs/>
          <w:sz w:val="44"/>
          <w:szCs w:val="44"/>
        </w:rPr>
        <w:t>代理机构选取流程</w:t>
      </w:r>
    </w:p>
    <w:p>
      <w:pPr>
        <w:widowControl/>
        <w:tabs>
          <w:tab w:val="left" w:pos="3544"/>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项目业主单位依法自主择优选择代理机构。</w:t>
      </w:r>
      <w:r>
        <w:rPr>
          <w:rFonts w:hint="eastAsia" w:ascii="仿宋_GB2312" w:hAnsi="仿宋_GB2312" w:eastAsia="仿宋_GB2312" w:cs="仿宋_GB2312"/>
          <w:color w:val="auto"/>
          <w:sz w:val="32"/>
          <w:szCs w:val="32"/>
        </w:rPr>
        <w:t>滁</w:t>
      </w:r>
      <w:r>
        <w:rPr>
          <w:rFonts w:hint="eastAsia" w:ascii="仿宋_GB2312" w:hAnsi="仿宋_GB2312" w:eastAsia="仿宋_GB2312" w:cs="仿宋_GB2312"/>
          <w:sz w:val="32"/>
          <w:szCs w:val="32"/>
        </w:rPr>
        <w:t>州市公共资源交易平台为进场项目选取代理机构提供了三种自主选取方式，供项目业主单位参考。</w:t>
      </w:r>
    </w:p>
    <w:p>
      <w:pPr>
        <w:widowControl/>
        <w:tabs>
          <w:tab w:val="left" w:pos="3544"/>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代理服务费未达到进场交易限额标准的，项目业主单位根据项目特点、信用评价情况、代理机构专职人员数量、类似项目服务业绩等因素，可采用直接指定、竞价选取和随机选取方式自主进行择优选定。代理服务费达到进场限额标准的，应通过进场交易确定代理机构。</w:t>
      </w:r>
    </w:p>
    <w:p>
      <w:pPr>
        <w:widowControl/>
        <w:tabs>
          <w:tab w:val="left" w:pos="3544"/>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一、采用竞价方式进行选定代理机构的，项目业主单位根据项目分类，按以下规则进行选定：</w:t>
      </w:r>
    </w:p>
    <w:p>
      <w:pPr>
        <w:widowControl/>
        <w:tabs>
          <w:tab w:val="left" w:pos="3544"/>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（一）项目业主单位在滁州市公共资源交易中心系统中提交项目信息和代理服务费控制价金额。项目业主单位应根据市场情况及项目情况，参考代理服务费标准，合理制定竞价控制价。</w:t>
      </w:r>
    </w:p>
    <w:p>
      <w:pPr>
        <w:widowControl/>
        <w:tabs>
          <w:tab w:val="left" w:pos="3544"/>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（二）项目业主单位在滁州市公共资源交易中心系统中发布竞价方式选定代理机构的项目公告，符合条件的代理机构可在一个工作日内自愿报名；</w:t>
      </w:r>
    </w:p>
    <w:p>
      <w:pPr>
        <w:widowControl/>
        <w:tabs>
          <w:tab w:val="left" w:pos="3544"/>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（三）代理机构可在项目业主单位发起竞价后一个工作日内进行一次性报价，报价不能高于代理服务费控制价；</w:t>
      </w:r>
    </w:p>
    <w:p>
      <w:pPr>
        <w:widowControl/>
        <w:tabs>
          <w:tab w:val="left" w:pos="3544"/>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（四）报价最低的单位为选定的代理机构，报价最低的单位有2家及以上的，由项目业主单位选定代理机构；</w:t>
      </w:r>
    </w:p>
    <w:p>
      <w:pPr>
        <w:widowControl/>
        <w:tabs>
          <w:tab w:val="left" w:pos="3544"/>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（五）代理机构被选定后，应当及时与项目业主单位签订项目代理服务协议。</w:t>
      </w:r>
    </w:p>
    <w:p>
      <w:pPr>
        <w:widowControl/>
        <w:tabs>
          <w:tab w:val="left" w:pos="3544"/>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二、采用随机抽取方式进行选定代理机构的，项目业主单位根据项目分类，按以下规则进行选定：</w:t>
      </w:r>
    </w:p>
    <w:p>
      <w:pPr>
        <w:widowControl/>
        <w:tabs>
          <w:tab w:val="left" w:pos="3544"/>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（一）项目业主单位在滁州市公共资源交易中心系统中，提交项目信息和代理服务费金额或付费标准；</w:t>
      </w:r>
    </w:p>
    <w:p>
      <w:pPr>
        <w:widowControl/>
        <w:tabs>
          <w:tab w:val="left" w:pos="3544"/>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（二）项目业主单位在滁州市公共资源交易中心系统中发布随机抽取方式选定代理机构的项目公告，符合条件的代理机构可在一个工作日内自愿报名；</w:t>
      </w:r>
    </w:p>
    <w:p>
      <w:pPr>
        <w:widowControl/>
        <w:tabs>
          <w:tab w:val="left" w:pos="3544"/>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（三）报名不少于5家的，项目业主单位从报名的代理机构中选择不少于5家进行随机抽取选定1家。报名大于1家少于5家的，项目业主单位可直接随机抽取选定代理机构。</w:t>
      </w:r>
    </w:p>
    <w:p>
      <w:pPr>
        <w:widowControl/>
        <w:tabs>
          <w:tab w:val="left" w:pos="3544"/>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（四）代理机构被抽取后，应当及时与项目业主单位签订项目代理服务协议。</w:t>
      </w:r>
    </w:p>
    <w:p>
      <w:pPr>
        <w:widowControl/>
        <w:tabs>
          <w:tab w:val="left" w:pos="3544"/>
        </w:tabs>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三、采用直接指定方式进行选定代理机构的，项目业主单位在明确代理服务金</w:t>
      </w:r>
      <w:r>
        <w:rPr>
          <w:rFonts w:hint="eastAsia" w:ascii="仿宋_GB2312" w:hAnsi="仿宋_GB2312" w:eastAsia="仿宋_GB2312" w:cs="仿宋_GB2312"/>
          <w:color w:val="auto"/>
          <w:sz w:val="32"/>
          <w:szCs w:val="32"/>
        </w:rPr>
        <w:t>额后，</w:t>
      </w:r>
      <w:r>
        <w:rPr>
          <w:rFonts w:hint="eastAsia" w:ascii="仿宋_GB2312" w:hAnsi="仿宋_GB2312" w:eastAsia="仿宋_GB2312" w:cs="仿宋_GB2312"/>
          <w:color w:val="auto"/>
          <w:sz w:val="32"/>
          <w:szCs w:val="32"/>
          <w:lang w:eastAsia="zh-CN"/>
        </w:rPr>
        <w:t>由</w:t>
      </w:r>
      <w:r>
        <w:rPr>
          <w:rFonts w:hint="eastAsia" w:ascii="仿宋_GB2312" w:hAnsi="仿宋_GB2312" w:eastAsia="仿宋_GB2312" w:cs="仿宋_GB2312"/>
          <w:color w:val="auto"/>
          <w:sz w:val="32"/>
          <w:szCs w:val="32"/>
        </w:rPr>
        <w:t>单位</w:t>
      </w:r>
      <w:r>
        <w:rPr>
          <w:rFonts w:hint="eastAsia" w:ascii="仿宋_GB2312" w:hAnsi="仿宋_GB2312" w:eastAsia="仿宋_GB2312" w:cs="仿宋_GB2312"/>
          <w:color w:val="auto"/>
          <w:sz w:val="32"/>
          <w:szCs w:val="32"/>
          <w:lang w:eastAsia="zh-CN"/>
        </w:rPr>
        <w:t>出具</w:t>
      </w:r>
      <w:r>
        <w:rPr>
          <w:rFonts w:hint="eastAsia" w:ascii="仿宋_GB2312" w:hAnsi="仿宋_GB2312" w:eastAsia="仿宋_GB2312" w:cs="仿宋_GB2312"/>
          <w:color w:val="auto"/>
          <w:sz w:val="32"/>
          <w:szCs w:val="32"/>
        </w:rPr>
        <w:t>情况说明，在</w:t>
      </w:r>
      <w:r>
        <w:rPr>
          <w:rFonts w:hint="eastAsia" w:ascii="仿宋_GB2312" w:hAnsi="仿宋_GB2312" w:eastAsia="仿宋_GB2312" w:cs="仿宋_GB2312"/>
          <w:sz w:val="32"/>
          <w:szCs w:val="32"/>
        </w:rPr>
        <w:t>滁州市公共资源交易中心系统中发布直接指定方式选定代理机构的项目公告。</w:t>
      </w:r>
    </w:p>
    <w:p>
      <w:pPr>
        <w:widowControl/>
        <w:spacing w:line="560" w:lineRule="exact"/>
        <w:ind w:right="420"/>
        <w:jc w:val="right"/>
        <w:sectPr>
          <w:headerReference r:id="rId3" w:type="default"/>
          <w:footerReference r:id="rId4" w:type="default"/>
          <w:pgSz w:w="11906" w:h="16838"/>
          <w:pgMar w:top="1701" w:right="1531" w:bottom="1701" w:left="1531" w:header="851" w:footer="992" w:gutter="0"/>
          <w:pgNumType w:fmt="numberInDash"/>
          <w:cols w:space="425" w:num="1"/>
          <w:docGrid w:type="lines" w:linePitch="312" w:charSpace="0"/>
        </w:sectPr>
      </w:pPr>
    </w:p>
    <w:p>
      <w:pPr>
        <w:spacing w:line="600" w:lineRule="exact"/>
        <w:jc w:val="left"/>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附件3</w:t>
      </w:r>
    </w:p>
    <w:p>
      <w:pPr>
        <w:spacing w:line="600" w:lineRule="exact"/>
        <w:jc w:val="center"/>
        <w:outlineLvl w:val="0"/>
        <w:rPr>
          <w:sz w:val="44"/>
          <w:szCs w:val="44"/>
        </w:rPr>
      </w:pPr>
      <w:r>
        <w:rPr>
          <w:rFonts w:hint="eastAsia" w:ascii="方正小标宋简体" w:hAnsi="方正小标宋简体" w:eastAsia="方正小标宋简体" w:cs="方正小标宋简体"/>
          <w:kern w:val="0"/>
          <w:sz w:val="44"/>
          <w:szCs w:val="44"/>
        </w:rPr>
        <w:t>滁州市公共资源交易代理机构信用评价暂行标准</w:t>
      </w:r>
    </w:p>
    <w:tbl>
      <w:tblPr>
        <w:tblStyle w:val="16"/>
        <w:tblW w:w="137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5"/>
        <w:gridCol w:w="567"/>
        <w:gridCol w:w="567"/>
        <w:gridCol w:w="652"/>
        <w:gridCol w:w="6201"/>
        <w:gridCol w:w="1761"/>
        <w:gridCol w:w="1470"/>
        <w:gridCol w:w="14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blHeader/>
        </w:trPr>
        <w:tc>
          <w:tcPr>
            <w:tcW w:w="1135"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eastAsia" w:ascii="黑体" w:hAnsi="宋体" w:eastAsia="黑体" w:cs="黑体"/>
                <w:b/>
                <w:color w:val="auto"/>
                <w:kern w:val="0"/>
                <w:sz w:val="24"/>
                <w:szCs w:val="24"/>
                <w:lang w:eastAsia="zh-CN"/>
              </w:rPr>
            </w:pPr>
            <w:r>
              <w:rPr>
                <w:rFonts w:hint="eastAsia" w:ascii="黑体" w:hAnsi="宋体" w:eastAsia="黑体" w:cs="黑体"/>
                <w:b/>
                <w:color w:val="auto"/>
                <w:kern w:val="0"/>
                <w:sz w:val="24"/>
                <w:szCs w:val="24"/>
              </w:rPr>
              <w:t>一级指标</w:t>
            </w:r>
          </w:p>
          <w:p>
            <w:pPr>
              <w:widowControl/>
              <w:jc w:val="center"/>
              <w:textAlignment w:val="center"/>
              <w:rPr>
                <w:rFonts w:ascii="黑体" w:hAnsi="宋体" w:eastAsia="黑体" w:cs="黑体"/>
                <w:b/>
                <w:color w:val="auto"/>
                <w:sz w:val="24"/>
                <w:szCs w:val="24"/>
              </w:rPr>
            </w:pPr>
            <w:r>
              <w:rPr>
                <w:rFonts w:hint="eastAsia" w:ascii="黑体" w:hAnsi="宋体" w:eastAsia="黑体" w:cs="黑体"/>
                <w:b/>
                <w:color w:val="auto"/>
                <w:kern w:val="0"/>
                <w:sz w:val="24"/>
                <w:szCs w:val="24"/>
              </w:rPr>
              <w:t>（权重）</w:t>
            </w: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黑体" w:hAnsi="宋体" w:eastAsia="黑体" w:cs="黑体"/>
                <w:b/>
                <w:color w:val="auto"/>
                <w:sz w:val="24"/>
                <w:szCs w:val="24"/>
              </w:rPr>
            </w:pPr>
            <w:r>
              <w:rPr>
                <w:rFonts w:hint="eastAsia" w:ascii="黑体" w:hAnsi="宋体" w:eastAsia="黑体" w:cs="黑体"/>
                <w:b/>
                <w:color w:val="auto"/>
                <w:kern w:val="0"/>
                <w:sz w:val="24"/>
                <w:szCs w:val="24"/>
              </w:rPr>
              <w:t>权重</w:t>
            </w:r>
          </w:p>
        </w:tc>
        <w:tc>
          <w:tcPr>
            <w:tcW w:w="1219" w:type="dxa"/>
            <w:gridSpan w:val="2"/>
            <w:tcBorders>
              <w:tl2br w:val="nil"/>
              <w:tr2bl w:val="nil"/>
            </w:tcBorders>
            <w:shd w:val="clear" w:color="auto" w:fill="FFFFFF"/>
            <w:tcMar>
              <w:top w:w="15" w:type="dxa"/>
              <w:left w:w="15" w:type="dxa"/>
              <w:right w:w="15" w:type="dxa"/>
            </w:tcMar>
            <w:vAlign w:val="center"/>
          </w:tcPr>
          <w:p>
            <w:pPr>
              <w:widowControl/>
              <w:jc w:val="center"/>
              <w:textAlignment w:val="center"/>
              <w:rPr>
                <w:rFonts w:ascii="黑体" w:hAnsi="宋体" w:eastAsia="黑体" w:cs="黑体"/>
                <w:b/>
                <w:color w:val="auto"/>
                <w:sz w:val="24"/>
                <w:szCs w:val="24"/>
              </w:rPr>
            </w:pPr>
            <w:r>
              <w:rPr>
                <w:rFonts w:hint="eastAsia" w:ascii="黑体" w:hAnsi="宋体" w:eastAsia="黑体" w:cs="黑体"/>
                <w:b/>
                <w:color w:val="auto"/>
                <w:kern w:val="0"/>
                <w:sz w:val="24"/>
                <w:szCs w:val="24"/>
              </w:rPr>
              <w:t>二级指标</w:t>
            </w:r>
          </w:p>
        </w:tc>
        <w:tc>
          <w:tcPr>
            <w:tcW w:w="620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黑体" w:hAnsi="宋体" w:eastAsia="黑体" w:cs="黑体"/>
                <w:b/>
                <w:color w:val="auto"/>
                <w:sz w:val="22"/>
              </w:rPr>
            </w:pPr>
            <w:r>
              <w:rPr>
                <w:rFonts w:hint="eastAsia" w:ascii="黑体" w:hAnsi="宋体" w:eastAsia="黑体" w:cs="黑体"/>
                <w:b/>
                <w:color w:val="auto"/>
                <w:kern w:val="0"/>
                <w:sz w:val="22"/>
              </w:rPr>
              <w:t>评价标准</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黑体" w:hAnsi="宋体" w:eastAsia="黑体" w:cs="黑体"/>
                <w:b/>
                <w:color w:val="auto"/>
                <w:sz w:val="22"/>
              </w:rPr>
            </w:pPr>
            <w:r>
              <w:rPr>
                <w:rFonts w:hint="eastAsia" w:ascii="黑体" w:hAnsi="宋体" w:eastAsia="黑体" w:cs="黑体"/>
                <w:b/>
                <w:color w:val="auto"/>
                <w:kern w:val="0"/>
                <w:sz w:val="22"/>
                <w:lang w:eastAsia="zh-CN"/>
              </w:rPr>
              <w:t>赋</w:t>
            </w:r>
            <w:r>
              <w:rPr>
                <w:rFonts w:hint="eastAsia" w:ascii="黑体" w:hAnsi="宋体" w:eastAsia="黑体" w:cs="黑体"/>
                <w:b/>
                <w:color w:val="auto"/>
                <w:kern w:val="0"/>
                <w:sz w:val="22"/>
              </w:rPr>
              <w:t>分规则</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黑体" w:hAnsi="宋体" w:eastAsia="黑体" w:cs="黑体"/>
                <w:b/>
                <w:color w:val="auto"/>
                <w:sz w:val="24"/>
                <w:szCs w:val="24"/>
              </w:rPr>
            </w:pPr>
            <w:r>
              <w:rPr>
                <w:rFonts w:hint="eastAsia" w:ascii="黑体" w:hAnsi="宋体" w:eastAsia="黑体" w:cs="黑体"/>
                <w:b/>
                <w:color w:val="auto"/>
                <w:kern w:val="0"/>
                <w:sz w:val="24"/>
                <w:szCs w:val="24"/>
              </w:rPr>
              <w:t>计分方式</w:t>
            </w:r>
          </w:p>
        </w:tc>
        <w:tc>
          <w:tcPr>
            <w:tcW w:w="141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黑体" w:hAnsi="宋体" w:eastAsia="黑体" w:cs="黑体"/>
                <w:b/>
                <w:color w:val="auto"/>
                <w:sz w:val="24"/>
                <w:szCs w:val="24"/>
              </w:rPr>
            </w:pPr>
            <w:r>
              <w:rPr>
                <w:rFonts w:hint="eastAsia" w:ascii="黑体" w:hAnsi="宋体" w:eastAsia="黑体" w:cs="黑体"/>
                <w:b/>
                <w:color w:val="auto"/>
                <w:kern w:val="0"/>
                <w:sz w:val="24"/>
                <w:szCs w:val="24"/>
              </w:rPr>
              <w:t>数据来源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b/>
                <w:color w:val="auto"/>
                <w:kern w:val="0"/>
                <w:sz w:val="20"/>
                <w:szCs w:val="20"/>
              </w:rPr>
            </w:pPr>
            <w:r>
              <w:rPr>
                <w:rFonts w:hint="eastAsia" w:ascii="宋体" w:hAnsi="宋体"/>
                <w:b/>
                <w:color w:val="auto"/>
                <w:kern w:val="0"/>
                <w:sz w:val="20"/>
                <w:szCs w:val="20"/>
              </w:rPr>
              <w:t>基础信息</w:t>
            </w:r>
          </w:p>
          <w:p>
            <w:pPr>
              <w:widowControl/>
              <w:jc w:val="center"/>
              <w:textAlignment w:val="center"/>
              <w:rPr>
                <w:rFonts w:ascii="宋体" w:hAnsi="宋体"/>
                <w:b/>
                <w:color w:val="auto"/>
                <w:sz w:val="20"/>
                <w:szCs w:val="20"/>
              </w:rPr>
            </w:pPr>
            <w:r>
              <w:rPr>
                <w:rFonts w:hint="eastAsia" w:ascii="宋体" w:hAnsi="宋体"/>
                <w:b/>
                <w:color w:val="auto"/>
                <w:kern w:val="0"/>
                <w:sz w:val="20"/>
                <w:szCs w:val="20"/>
              </w:rPr>
              <w:t>（10分）</w:t>
            </w: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auto"/>
                <w:sz w:val="20"/>
                <w:szCs w:val="20"/>
              </w:rPr>
            </w:pPr>
            <w:r>
              <w:rPr>
                <w:rFonts w:hint="eastAsia" w:ascii="宋体" w:hAnsi="宋体"/>
                <w:color w:val="auto"/>
                <w:kern w:val="0"/>
                <w:sz w:val="20"/>
                <w:szCs w:val="20"/>
              </w:rPr>
              <w:t>10分</w:t>
            </w:r>
          </w:p>
        </w:tc>
        <w:tc>
          <w:tcPr>
            <w:tcW w:w="1219" w:type="dxa"/>
            <w:gridSpan w:val="2"/>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b/>
                <w:color w:val="auto"/>
                <w:sz w:val="20"/>
                <w:szCs w:val="20"/>
              </w:rPr>
            </w:pPr>
            <w:r>
              <w:rPr>
                <w:rFonts w:hint="eastAsia" w:ascii="宋体" w:hAnsi="宋体"/>
                <w:b/>
                <w:color w:val="auto"/>
                <w:kern w:val="0"/>
                <w:sz w:val="20"/>
                <w:szCs w:val="20"/>
              </w:rPr>
              <w:t>综合信用</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szCs w:val="21"/>
              </w:rPr>
            </w:pPr>
            <w:r>
              <w:rPr>
                <w:rFonts w:hint="eastAsia" w:ascii="仿宋_GB2312" w:hAnsi="宋体" w:eastAsia="仿宋_GB2312" w:cs="仿宋_GB2312"/>
                <w:color w:val="auto"/>
                <w:kern w:val="0"/>
                <w:szCs w:val="21"/>
              </w:rPr>
              <w:t>企业按要求在市公共资源交易中心</w:t>
            </w:r>
            <w:r>
              <w:rPr>
                <w:rFonts w:hint="eastAsia" w:ascii="仿宋_GB2312" w:hAnsi="宋体" w:eastAsia="仿宋_GB2312" w:cs="仿宋_GB2312"/>
                <w:color w:val="auto"/>
                <w:kern w:val="0"/>
                <w:szCs w:val="21"/>
                <w:lang w:eastAsia="zh-CN"/>
              </w:rPr>
              <w:t>完善</w:t>
            </w:r>
            <w:r>
              <w:rPr>
                <w:rFonts w:hint="eastAsia" w:ascii="仿宋_GB2312" w:hAnsi="宋体" w:eastAsia="仿宋_GB2312" w:cs="仿宋_GB2312"/>
                <w:color w:val="auto"/>
                <w:kern w:val="0"/>
                <w:szCs w:val="21"/>
              </w:rPr>
              <w:t>登记</w:t>
            </w:r>
            <w:r>
              <w:rPr>
                <w:rFonts w:hint="eastAsia" w:ascii="仿宋_GB2312" w:hAnsi="宋体" w:eastAsia="仿宋_GB2312" w:cs="仿宋_GB2312"/>
                <w:color w:val="auto"/>
                <w:kern w:val="0"/>
                <w:szCs w:val="21"/>
                <w:lang w:eastAsia="zh-CN"/>
              </w:rPr>
              <w:t>信息</w:t>
            </w:r>
            <w:r>
              <w:rPr>
                <w:rFonts w:hint="eastAsia" w:ascii="仿宋_GB2312" w:hAnsi="宋体" w:eastAsia="仿宋_GB2312" w:cs="仿宋_GB2312"/>
                <w:color w:val="auto"/>
                <w:kern w:val="0"/>
                <w:szCs w:val="21"/>
              </w:rPr>
              <w:t>并承诺，信息完整，更新及时。</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Cs w:val="21"/>
              </w:rPr>
            </w:pPr>
            <w:r>
              <w:rPr>
                <w:rFonts w:hint="eastAsia" w:ascii="仿宋_GB2312" w:hAnsi="宋体" w:eastAsia="仿宋_GB2312" w:cs="仿宋_GB2312"/>
                <w:color w:val="auto"/>
                <w:kern w:val="0"/>
                <w:szCs w:val="21"/>
              </w:rPr>
              <w:t>未完成登记承诺或登记承诺内容与要求或实际不符不得分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核实登记</w:t>
            </w:r>
            <w:r>
              <w:rPr>
                <w:rFonts w:hint="eastAsia" w:ascii="仿宋_GB2312" w:hAnsi="宋体" w:eastAsia="仿宋_GB2312" w:cs="仿宋_GB2312"/>
                <w:color w:val="auto"/>
                <w:kern w:val="0"/>
                <w:szCs w:val="21"/>
              </w:rPr>
              <w:t>承诺</w:t>
            </w:r>
            <w:r>
              <w:rPr>
                <w:rFonts w:hint="eastAsia" w:ascii="仿宋_GB2312" w:hAnsi="宋体" w:eastAsia="仿宋_GB2312" w:cs="仿宋_GB2312"/>
                <w:color w:val="auto"/>
                <w:kern w:val="0"/>
                <w:sz w:val="20"/>
                <w:szCs w:val="20"/>
              </w:rPr>
              <w:t>信息与本办法要求、实际情况是否相符</w:t>
            </w:r>
          </w:p>
        </w:tc>
        <w:tc>
          <w:tcPr>
            <w:tcW w:w="141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市交易中心统一计分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6" w:hRule="atLeast"/>
        </w:trPr>
        <w:tc>
          <w:tcPr>
            <w:tcW w:w="1135"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b/>
                <w:color w:val="auto"/>
                <w:sz w:val="20"/>
                <w:szCs w:val="20"/>
              </w:rPr>
            </w:pPr>
            <w:r>
              <w:rPr>
                <w:rFonts w:hint="eastAsia" w:ascii="宋体" w:hAnsi="宋体"/>
                <w:b/>
                <w:color w:val="auto"/>
                <w:sz w:val="20"/>
                <w:szCs w:val="20"/>
              </w:rPr>
              <w:t>日常考核</w:t>
            </w:r>
          </w:p>
          <w:p>
            <w:pPr>
              <w:jc w:val="center"/>
              <w:rPr>
                <w:rFonts w:ascii="宋体" w:hAnsi="宋体"/>
                <w:b/>
                <w:color w:val="auto"/>
                <w:sz w:val="20"/>
                <w:szCs w:val="20"/>
              </w:rPr>
            </w:pPr>
            <w:r>
              <w:rPr>
                <w:rFonts w:hint="eastAsia" w:ascii="宋体" w:hAnsi="宋体"/>
                <w:b/>
                <w:color w:val="auto"/>
                <w:sz w:val="20"/>
                <w:szCs w:val="20"/>
              </w:rPr>
              <w:t>（50分）</w:t>
            </w:r>
          </w:p>
        </w:tc>
        <w:tc>
          <w:tcPr>
            <w:tcW w:w="567" w:type="dxa"/>
            <w:vMerge w:val="restart"/>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r>
              <w:rPr>
                <w:rFonts w:hint="eastAsia" w:ascii="宋体" w:hAnsi="宋体"/>
                <w:color w:val="auto"/>
                <w:kern w:val="0"/>
                <w:sz w:val="20"/>
                <w:szCs w:val="20"/>
              </w:rPr>
              <w:t>共50分，扣完为止</w:t>
            </w:r>
          </w:p>
        </w:tc>
        <w:tc>
          <w:tcPr>
            <w:tcW w:w="567" w:type="dxa"/>
            <w:vMerge w:val="restart"/>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r>
              <w:rPr>
                <w:rFonts w:hint="eastAsia" w:ascii="宋体" w:hAnsi="宋体"/>
                <w:b/>
                <w:color w:val="auto"/>
                <w:kern w:val="0"/>
                <w:sz w:val="20"/>
                <w:szCs w:val="20"/>
              </w:rPr>
              <w:t>轻微扣分情形</w:t>
            </w: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auto"/>
                <w:sz w:val="20"/>
                <w:szCs w:val="20"/>
              </w:rPr>
            </w:pPr>
            <w:r>
              <w:rPr>
                <w:rFonts w:ascii="仿宋_GB2312" w:eastAsia="仿宋_GB2312"/>
                <w:b/>
                <w:bCs/>
                <w:color w:val="auto"/>
                <w:szCs w:val="21"/>
              </w:rPr>
              <w:t>1</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szCs w:val="21"/>
              </w:rPr>
            </w:pPr>
            <w:r>
              <w:rPr>
                <w:rFonts w:hint="eastAsia" w:ascii="仿宋_GB2312" w:eastAsia="仿宋_GB2312"/>
                <w:color w:val="auto"/>
                <w:szCs w:val="21"/>
              </w:rPr>
              <w:t>登记基础信息发生变更，未按规定申报更新的（每人/次）；</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Cs w:val="21"/>
              </w:rPr>
            </w:pPr>
            <w:r>
              <w:rPr>
                <w:rFonts w:hint="eastAsia" w:ascii="仿宋_GB2312" w:hAnsi="宋体" w:eastAsia="仿宋_GB2312" w:cs="仿宋_GB2312"/>
                <w:color w:val="auto"/>
                <w:kern w:val="0"/>
                <w:szCs w:val="21"/>
              </w:rPr>
              <w:t>每发现一次扣1分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restart"/>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r>
              <w:rPr>
                <w:rFonts w:hint="eastAsia" w:ascii="仿宋_GB2312" w:hAnsi="宋体" w:eastAsia="仿宋_GB2312" w:cs="仿宋_GB2312"/>
                <w:color w:val="auto"/>
                <w:sz w:val="20"/>
                <w:szCs w:val="20"/>
              </w:rPr>
              <w:t>各级</w:t>
            </w:r>
            <w:r>
              <w:rPr>
                <w:rFonts w:hint="eastAsia" w:ascii="仿宋_GB2312" w:hAnsi="宋体" w:eastAsia="仿宋_GB2312" w:cs="仿宋_GB2312"/>
                <w:color w:val="auto"/>
                <w:kern w:val="0"/>
                <w:sz w:val="20"/>
                <w:szCs w:val="20"/>
              </w:rPr>
              <w:t>公管局</w:t>
            </w:r>
            <w:r>
              <w:rPr>
                <w:rFonts w:hint="eastAsia" w:ascii="仿宋_GB2312" w:hAnsi="宋体" w:eastAsia="仿宋_GB2312" w:cs="仿宋_GB2312"/>
                <w:color w:val="auto"/>
                <w:sz w:val="20"/>
                <w:szCs w:val="20"/>
              </w:rPr>
              <w:t>或交易中心，由市</w:t>
            </w:r>
            <w:r>
              <w:rPr>
                <w:rFonts w:hint="eastAsia" w:ascii="仿宋_GB2312" w:hAnsi="宋体" w:eastAsia="仿宋_GB2312" w:cs="仿宋_GB2312"/>
                <w:color w:val="auto"/>
                <w:kern w:val="0"/>
                <w:sz w:val="20"/>
                <w:szCs w:val="20"/>
              </w:rPr>
              <w:t>交易中心</w:t>
            </w:r>
            <w:r>
              <w:rPr>
                <w:rFonts w:hint="eastAsia" w:ascii="仿宋_GB2312" w:hAnsi="宋体" w:eastAsia="仿宋_GB2312" w:cs="仿宋_GB2312"/>
                <w:color w:val="auto"/>
                <w:sz w:val="20"/>
                <w:szCs w:val="20"/>
              </w:rPr>
              <w:t>统一计分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2"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eastAsia="仿宋_GB2312"/>
                <w:b/>
                <w:bCs/>
                <w:color w:val="auto"/>
                <w:szCs w:val="21"/>
              </w:rPr>
            </w:pPr>
            <w:r>
              <w:rPr>
                <w:rFonts w:hint="eastAsia" w:ascii="仿宋_GB2312" w:eastAsia="仿宋_GB2312"/>
                <w:b/>
                <w:bCs/>
                <w:color w:val="auto"/>
                <w:szCs w:val="21"/>
              </w:rPr>
              <w:t>2</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eastAsia="仿宋_GB2312"/>
                <w:color w:val="auto"/>
                <w:szCs w:val="21"/>
              </w:rPr>
            </w:pPr>
            <w:r>
              <w:rPr>
                <w:rFonts w:hint="eastAsia" w:ascii="仿宋_GB2312" w:eastAsia="仿宋_GB2312"/>
                <w:color w:val="auto"/>
                <w:szCs w:val="21"/>
              </w:rPr>
              <w:t>在检查中发现基础信息错误的；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每发现一次扣1分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2"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auto"/>
                <w:sz w:val="20"/>
                <w:szCs w:val="20"/>
              </w:rPr>
            </w:pPr>
            <w:r>
              <w:rPr>
                <w:rFonts w:hint="eastAsia" w:ascii="仿宋_GB2312" w:eastAsia="仿宋_GB2312"/>
                <w:b/>
                <w:bCs/>
                <w:color w:val="auto"/>
                <w:szCs w:val="21"/>
              </w:rPr>
              <w:t>3</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szCs w:val="21"/>
              </w:rPr>
            </w:pPr>
            <w:r>
              <w:rPr>
                <w:rFonts w:hint="eastAsia" w:ascii="仿宋_GB2312" w:eastAsia="仿宋_GB2312"/>
                <w:color w:val="auto"/>
                <w:szCs w:val="21"/>
              </w:rPr>
              <w:t>在开评标（审）环节，项目</w:t>
            </w:r>
            <w:r>
              <w:rPr>
                <w:rFonts w:hint="eastAsia" w:ascii="仿宋_GB2312" w:eastAsia="仿宋_GB2312"/>
                <w:color w:val="auto"/>
                <w:szCs w:val="21"/>
                <w:lang w:eastAsia="zh-CN"/>
              </w:rPr>
              <w:t>组人员</w:t>
            </w:r>
            <w:r>
              <w:rPr>
                <w:rFonts w:hint="eastAsia" w:ascii="仿宋_GB2312" w:eastAsia="仿宋_GB2312"/>
                <w:color w:val="auto"/>
                <w:szCs w:val="21"/>
              </w:rPr>
              <w:t>未按公管局及交易中心相关规定考勤的（每人/次）；</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Cs w:val="21"/>
              </w:rPr>
            </w:pPr>
            <w:r>
              <w:rPr>
                <w:rFonts w:hint="eastAsia" w:ascii="仿宋_GB2312" w:hAnsi="宋体" w:eastAsia="仿宋_GB2312" w:cs="仿宋_GB2312"/>
                <w:color w:val="auto"/>
                <w:kern w:val="0"/>
                <w:szCs w:val="21"/>
              </w:rPr>
              <w:t>每发现一次扣1分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8"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auto"/>
                <w:sz w:val="20"/>
                <w:szCs w:val="20"/>
              </w:rPr>
            </w:pPr>
            <w:r>
              <w:rPr>
                <w:rFonts w:hint="eastAsia" w:ascii="仿宋_GB2312" w:eastAsia="仿宋_GB2312"/>
                <w:b/>
                <w:bCs/>
                <w:color w:val="auto"/>
                <w:szCs w:val="21"/>
              </w:rPr>
              <w:t>4</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szCs w:val="21"/>
              </w:rPr>
            </w:pPr>
            <w:r>
              <w:rPr>
                <w:rFonts w:hint="eastAsia" w:ascii="仿宋_GB2312" w:eastAsia="仿宋_GB2312"/>
                <w:color w:val="auto"/>
                <w:szCs w:val="21"/>
              </w:rPr>
              <w:t>未按规定确定开评标场地</w:t>
            </w:r>
            <w:r>
              <w:rPr>
                <w:rFonts w:hint="eastAsia" w:ascii="仿宋_GB2312" w:eastAsia="仿宋_GB2312"/>
                <w:color w:val="auto"/>
                <w:szCs w:val="21"/>
                <w:lang w:eastAsia="zh-CN"/>
              </w:rPr>
              <w:t>的或者</w:t>
            </w:r>
            <w:r>
              <w:rPr>
                <w:rFonts w:hint="eastAsia" w:ascii="仿宋_GB2312" w:eastAsia="仿宋_GB2312"/>
                <w:color w:val="auto"/>
                <w:szCs w:val="21"/>
              </w:rPr>
              <w:t>未按现场管理规定关闭</w:t>
            </w:r>
            <w:r>
              <w:rPr>
                <w:rFonts w:hint="eastAsia" w:ascii="仿宋_GB2312" w:eastAsia="仿宋_GB2312"/>
                <w:color w:val="auto"/>
                <w:szCs w:val="21"/>
                <w:lang w:eastAsia="zh-CN"/>
              </w:rPr>
              <w:t>所使用评标室</w:t>
            </w:r>
            <w:r>
              <w:rPr>
                <w:rFonts w:hint="eastAsia" w:ascii="仿宋_GB2312" w:eastAsia="仿宋_GB2312"/>
                <w:color w:val="auto"/>
                <w:szCs w:val="21"/>
              </w:rPr>
              <w:t>电脑等设施设备的</w:t>
            </w:r>
            <w:r>
              <w:rPr>
                <w:rFonts w:hint="eastAsia" w:ascii="仿宋_GB2312" w:eastAsia="仿宋_GB2312"/>
                <w:color w:val="auto"/>
                <w:szCs w:val="21"/>
                <w:lang w:eastAsia="zh-CN"/>
              </w:rPr>
              <w:t>或者</w:t>
            </w:r>
            <w:r>
              <w:rPr>
                <w:rFonts w:hint="eastAsia" w:ascii="仿宋_GB2312" w:eastAsia="仿宋_GB2312"/>
                <w:color w:val="auto"/>
                <w:szCs w:val="21"/>
              </w:rPr>
              <w:t>项目负责人未按规定办理进出登记手续进入评标现场的；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Cs w:val="21"/>
              </w:rPr>
            </w:pPr>
            <w:r>
              <w:rPr>
                <w:rFonts w:hint="eastAsia" w:ascii="仿宋_GB2312" w:hAnsi="宋体" w:eastAsia="仿宋_GB2312" w:cs="仿宋_GB2312"/>
                <w:color w:val="auto"/>
                <w:kern w:val="0"/>
                <w:szCs w:val="21"/>
              </w:rPr>
              <w:t>每发现一次扣1分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6"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auto"/>
                <w:sz w:val="20"/>
                <w:szCs w:val="20"/>
              </w:rPr>
            </w:pPr>
            <w:r>
              <w:rPr>
                <w:rFonts w:hint="eastAsia" w:ascii="仿宋_GB2312" w:eastAsia="仿宋_GB2312"/>
                <w:b/>
                <w:bCs/>
                <w:color w:val="auto"/>
                <w:szCs w:val="21"/>
              </w:rPr>
              <w:t>5</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szCs w:val="21"/>
              </w:rPr>
            </w:pPr>
            <w:r>
              <w:rPr>
                <w:rFonts w:hint="eastAsia" w:ascii="仿宋_GB2312" w:eastAsia="仿宋_GB2312"/>
                <w:color w:val="auto"/>
                <w:szCs w:val="21"/>
              </w:rPr>
              <w:t>代理机构工作人员在专家抽取环节中因自身原因操作不当</w:t>
            </w:r>
            <w:r>
              <w:rPr>
                <w:rFonts w:hint="eastAsia" w:ascii="仿宋_GB2312" w:eastAsia="仿宋_GB2312"/>
                <w:color w:val="auto"/>
                <w:szCs w:val="21"/>
                <w:lang w:eastAsia="zh-CN"/>
              </w:rPr>
              <w:t>，造成不良影响的；</w:t>
            </w:r>
            <w:r>
              <w:rPr>
                <w:rFonts w:hint="eastAsia" w:ascii="仿宋_GB2312" w:eastAsia="仿宋_GB2312"/>
                <w:color w:val="auto"/>
                <w:szCs w:val="21"/>
              </w:rPr>
              <w:t>或者未按规定及时录入并推送项目信息、评标评审专家劳务费等的；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Cs w:val="21"/>
              </w:rPr>
            </w:pPr>
            <w:r>
              <w:rPr>
                <w:rFonts w:hint="eastAsia" w:ascii="仿宋_GB2312" w:hAnsi="宋体" w:eastAsia="仿宋_GB2312" w:cs="仿宋_GB2312"/>
                <w:color w:val="auto"/>
                <w:kern w:val="0"/>
                <w:szCs w:val="21"/>
              </w:rPr>
              <w:t>每发现一次扣1分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eastAsia" w:ascii="宋体" w:hAnsi="宋体" w:eastAsiaTheme="minorEastAsia"/>
                <w:color w:val="auto"/>
                <w:sz w:val="20"/>
                <w:szCs w:val="20"/>
                <w:lang w:eastAsia="zh-CN"/>
              </w:rPr>
            </w:pPr>
            <w:r>
              <w:rPr>
                <w:rFonts w:hint="eastAsia" w:ascii="仿宋_GB2312" w:eastAsia="仿宋_GB2312"/>
                <w:b/>
                <w:bCs/>
                <w:color w:val="auto"/>
                <w:szCs w:val="21"/>
                <w:lang w:val="en-US" w:eastAsia="zh-CN"/>
              </w:rPr>
              <w:t>6</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szCs w:val="21"/>
              </w:rPr>
            </w:pPr>
            <w:r>
              <w:rPr>
                <w:rFonts w:hint="eastAsia" w:ascii="仿宋_GB2312" w:eastAsia="仿宋_GB2312"/>
                <w:color w:val="auto"/>
                <w:szCs w:val="21"/>
              </w:rPr>
              <w:t>代理机构工作人员在开评标现场未按要求着装</w:t>
            </w:r>
            <w:r>
              <w:rPr>
                <w:rFonts w:hint="eastAsia" w:ascii="仿宋_GB2312" w:eastAsia="仿宋_GB2312"/>
                <w:color w:val="auto"/>
                <w:szCs w:val="21"/>
                <w:lang w:eastAsia="zh-CN"/>
              </w:rPr>
              <w:t>、佩戴工作标识</w:t>
            </w:r>
            <w:r>
              <w:rPr>
                <w:rFonts w:hint="eastAsia" w:ascii="仿宋_GB2312" w:eastAsia="仿宋_GB2312"/>
                <w:color w:val="auto"/>
                <w:szCs w:val="21"/>
              </w:rPr>
              <w:t>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Cs w:val="21"/>
              </w:rPr>
            </w:pPr>
            <w:r>
              <w:rPr>
                <w:rFonts w:hint="eastAsia" w:ascii="仿宋_GB2312" w:hAnsi="宋体" w:eastAsia="仿宋_GB2312" w:cs="仿宋_GB2312"/>
                <w:color w:val="auto"/>
                <w:kern w:val="0"/>
                <w:szCs w:val="21"/>
              </w:rPr>
              <w:t>每发现一次扣1分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auto"/>
                <w:sz w:val="20"/>
                <w:szCs w:val="20"/>
              </w:rPr>
            </w:pPr>
            <w:r>
              <w:rPr>
                <w:rFonts w:hint="eastAsia" w:ascii="仿宋_GB2312" w:eastAsia="仿宋_GB2312"/>
                <w:b/>
                <w:bCs/>
                <w:color w:val="auto"/>
                <w:szCs w:val="21"/>
                <w:lang w:val="en-US" w:eastAsia="zh-CN"/>
              </w:rPr>
              <w:t>7</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lang w:val="en-US" w:eastAsia="zh-CN"/>
              </w:rPr>
              <w:t>交易服务过程中因中介机构自身原因造成不良影响的；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Cs w:val="21"/>
              </w:rPr>
            </w:pPr>
            <w:r>
              <w:rPr>
                <w:rFonts w:hint="eastAsia" w:ascii="仿宋_GB2312" w:hAnsi="宋体" w:eastAsia="仿宋_GB2312" w:cs="仿宋_GB2312"/>
                <w:color w:val="auto"/>
                <w:kern w:val="0"/>
                <w:szCs w:val="21"/>
              </w:rPr>
              <w:t>每发现一次扣1分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8"/>
                <w:szCs w:val="28"/>
              </w:rPr>
            </w:pPr>
            <w:r>
              <w:rPr>
                <w:rFonts w:hint="eastAsia" w:ascii="宋体" w:hAnsi="宋体"/>
                <w:color w:val="auto"/>
                <w:kern w:val="0"/>
                <w:sz w:val="20"/>
                <w:szCs w:val="20"/>
              </w:rPr>
              <w:t>共50分扣完为止</w:t>
            </w: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b/>
                <w:color w:val="auto"/>
                <w:kern w:val="0"/>
                <w:sz w:val="20"/>
                <w:szCs w:val="20"/>
              </w:rPr>
            </w:pPr>
            <w:r>
              <w:rPr>
                <w:rFonts w:hint="eastAsia" w:ascii="宋体" w:hAnsi="宋体"/>
                <w:b/>
                <w:color w:val="auto"/>
                <w:kern w:val="0"/>
                <w:sz w:val="20"/>
                <w:szCs w:val="20"/>
              </w:rPr>
              <w:t>一般</w:t>
            </w:r>
          </w:p>
          <w:p>
            <w:pPr>
              <w:widowControl/>
              <w:jc w:val="center"/>
              <w:textAlignment w:val="center"/>
              <w:rPr>
                <w:rFonts w:ascii="宋体" w:hAnsi="宋体"/>
                <w:b/>
                <w:color w:val="auto"/>
                <w:sz w:val="20"/>
                <w:szCs w:val="20"/>
              </w:rPr>
            </w:pPr>
            <w:r>
              <w:rPr>
                <w:rFonts w:hint="eastAsia" w:ascii="宋体" w:hAnsi="宋体"/>
                <w:b/>
                <w:color w:val="auto"/>
                <w:kern w:val="0"/>
                <w:sz w:val="20"/>
                <w:szCs w:val="20"/>
              </w:rPr>
              <w:t>扣分情形</w:t>
            </w: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eastAsia" w:ascii="宋体" w:hAnsi="宋体" w:eastAsiaTheme="minorEastAsia"/>
                <w:color w:val="auto"/>
                <w:sz w:val="20"/>
                <w:szCs w:val="20"/>
                <w:lang w:val="en-US" w:eastAsia="zh-CN"/>
              </w:rPr>
            </w:pPr>
            <w:r>
              <w:rPr>
                <w:rFonts w:hint="eastAsia" w:ascii="仿宋_GB2312" w:eastAsia="仿宋_GB2312"/>
                <w:b/>
                <w:bCs/>
                <w:color w:val="auto"/>
                <w:szCs w:val="21"/>
                <w:lang w:val="en-US" w:eastAsia="zh-CN"/>
              </w:rPr>
              <w:t>8</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szCs w:val="21"/>
              </w:rPr>
            </w:pPr>
            <w:r>
              <w:rPr>
                <w:rFonts w:hint="eastAsia" w:ascii="仿宋_GB2312" w:eastAsia="仿宋_GB2312"/>
                <w:color w:val="auto"/>
                <w:szCs w:val="21"/>
                <w:lang w:eastAsia="zh-CN"/>
              </w:rPr>
              <w:t>未经主管部门同意不按合同范本签订代理服务合同或者签订合同的内容要素不全被检查通报的；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Cs w:val="21"/>
              </w:rPr>
            </w:pPr>
            <w:r>
              <w:rPr>
                <w:rFonts w:hint="eastAsia" w:ascii="仿宋_GB2312" w:hAnsi="宋体" w:eastAsia="仿宋_GB2312" w:cs="仿宋_GB2312"/>
                <w:color w:val="auto"/>
                <w:kern w:val="0"/>
                <w:szCs w:val="21"/>
              </w:rPr>
              <w:t>每发现一次扣2分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各级公管局</w:t>
            </w:r>
            <w:r>
              <w:rPr>
                <w:rFonts w:hint="eastAsia" w:ascii="仿宋_GB2312" w:hAnsi="宋体" w:eastAsia="仿宋_GB2312" w:cs="仿宋_GB2312"/>
                <w:color w:val="auto"/>
                <w:sz w:val="20"/>
                <w:szCs w:val="20"/>
              </w:rPr>
              <w:t>或交易中心</w:t>
            </w:r>
            <w:r>
              <w:rPr>
                <w:rFonts w:hint="eastAsia" w:ascii="仿宋_GB2312" w:hAnsi="宋体" w:eastAsia="仿宋_GB2312" w:cs="仿宋_GB2312"/>
                <w:color w:val="auto"/>
                <w:kern w:val="0"/>
                <w:sz w:val="20"/>
                <w:szCs w:val="20"/>
              </w:rPr>
              <w:t>，由市交易中心统一计分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eastAsia" w:ascii="仿宋_GB2312" w:eastAsia="仿宋_GB2312"/>
                <w:b/>
                <w:bCs/>
                <w:color w:val="auto"/>
                <w:szCs w:val="21"/>
                <w:lang w:val="en-US" w:eastAsia="zh-CN"/>
              </w:rPr>
            </w:pPr>
            <w:r>
              <w:rPr>
                <w:rFonts w:hint="eastAsia" w:ascii="仿宋_GB2312" w:eastAsia="仿宋_GB2312"/>
                <w:b/>
                <w:bCs/>
                <w:color w:val="auto"/>
                <w:szCs w:val="21"/>
                <w:lang w:val="en-US" w:eastAsia="zh-CN"/>
              </w:rPr>
              <w:t>9</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hint="eastAsia" w:ascii="仿宋_GB2312" w:eastAsia="仿宋_GB2312"/>
                <w:color w:val="auto"/>
                <w:szCs w:val="21"/>
                <w:lang w:eastAsia="zh-CN"/>
              </w:rPr>
            </w:pPr>
            <w:r>
              <w:rPr>
                <w:rFonts w:hint="eastAsia" w:ascii="仿宋_GB2312" w:eastAsia="仿宋_GB2312"/>
                <w:color w:val="auto"/>
                <w:szCs w:val="21"/>
              </w:rPr>
              <w:t>未按规定将已完成交易项目资料（含音视频监控资料）收集、整理归档，移交至交易中心及项目单位的</w:t>
            </w:r>
            <w:r>
              <w:rPr>
                <w:rFonts w:hint="eastAsia" w:ascii="仿宋_GB2312" w:eastAsia="仿宋_GB2312"/>
                <w:color w:val="auto"/>
                <w:szCs w:val="21"/>
                <w:lang w:eastAsia="zh-CN"/>
              </w:rPr>
              <w:t>或者</w:t>
            </w:r>
            <w:r>
              <w:rPr>
                <w:rFonts w:hint="eastAsia" w:ascii="仿宋_GB2312" w:eastAsia="仿宋_GB2312"/>
                <w:color w:val="auto"/>
                <w:szCs w:val="21"/>
              </w:rPr>
              <w:t>移交</w:t>
            </w:r>
            <w:r>
              <w:rPr>
                <w:rFonts w:hint="eastAsia" w:ascii="仿宋_GB2312" w:eastAsia="仿宋_GB2312"/>
                <w:color w:val="auto"/>
                <w:szCs w:val="21"/>
                <w:lang w:eastAsia="zh-CN"/>
              </w:rPr>
              <w:t>的</w:t>
            </w:r>
            <w:r>
              <w:rPr>
                <w:rFonts w:hint="eastAsia" w:ascii="仿宋_GB2312" w:eastAsia="仿宋_GB2312"/>
                <w:color w:val="auto"/>
                <w:szCs w:val="21"/>
              </w:rPr>
              <w:t>档案不完整、不真实</w:t>
            </w:r>
            <w:r>
              <w:rPr>
                <w:rFonts w:hint="eastAsia" w:ascii="仿宋_GB2312" w:eastAsia="仿宋_GB2312"/>
                <w:color w:val="auto"/>
                <w:szCs w:val="21"/>
                <w:lang w:eastAsia="zh-CN"/>
              </w:rPr>
              <w:t>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每发现一次扣2分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kern w:val="0"/>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eastAsia" w:ascii="宋体" w:hAnsi="宋体" w:eastAsiaTheme="minorEastAsia"/>
                <w:color w:val="auto"/>
                <w:sz w:val="20"/>
                <w:szCs w:val="20"/>
                <w:lang w:eastAsia="zh-CN"/>
              </w:rPr>
            </w:pPr>
            <w:r>
              <w:rPr>
                <w:rFonts w:hint="eastAsia" w:ascii="仿宋_GB2312" w:eastAsia="仿宋_GB2312"/>
                <w:b/>
                <w:bCs/>
                <w:color w:val="auto"/>
                <w:szCs w:val="21"/>
                <w:lang w:val="en-US" w:eastAsia="zh-CN"/>
              </w:rPr>
              <w:t>10</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rPr>
              <w:t>未做好开评标前准备，或委托非登记人员组织开评标会议，或</w:t>
            </w:r>
            <w:r>
              <w:rPr>
                <w:rFonts w:hint="eastAsia" w:ascii="仿宋_GB2312" w:eastAsia="仿宋_GB2312"/>
                <w:color w:val="auto"/>
                <w:szCs w:val="21"/>
                <w:lang w:eastAsia="zh-CN"/>
              </w:rPr>
              <w:t>未按规定要求</w:t>
            </w:r>
            <w:r>
              <w:rPr>
                <w:rFonts w:hint="eastAsia" w:ascii="仿宋_GB2312" w:eastAsia="仿宋_GB2312"/>
                <w:color w:val="auto"/>
                <w:szCs w:val="21"/>
              </w:rPr>
              <w:t>组织开评标程序，或不按照交易文件规定的时间、地点开标、评标，有特殊</w:t>
            </w:r>
            <w:r>
              <w:rPr>
                <w:rFonts w:hint="eastAsia" w:ascii="仿宋_GB2312" w:eastAsia="仿宋_GB2312"/>
                <w:color w:val="auto"/>
                <w:szCs w:val="21"/>
                <w:lang w:eastAsia="zh-CN"/>
              </w:rPr>
              <w:t>情况</w:t>
            </w:r>
            <w:r>
              <w:rPr>
                <w:rFonts w:hint="eastAsia" w:ascii="仿宋_GB2312" w:eastAsia="仿宋_GB2312"/>
                <w:color w:val="auto"/>
                <w:szCs w:val="21"/>
              </w:rPr>
              <w:t>未说明理由的；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Cs w:val="21"/>
              </w:rPr>
            </w:pPr>
            <w:r>
              <w:rPr>
                <w:rFonts w:hint="eastAsia" w:ascii="仿宋_GB2312" w:hAnsi="宋体" w:eastAsia="仿宋_GB2312" w:cs="仿宋_GB2312"/>
                <w:color w:val="auto"/>
                <w:kern w:val="0"/>
                <w:szCs w:val="21"/>
              </w:rPr>
              <w:t>每发现一次扣2分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default" w:ascii="宋体" w:hAnsi="宋体" w:eastAsiaTheme="minorEastAsia"/>
                <w:color w:val="auto"/>
                <w:sz w:val="20"/>
                <w:szCs w:val="20"/>
                <w:lang w:val="en-US" w:eastAsia="zh-CN"/>
              </w:rPr>
            </w:pPr>
            <w:r>
              <w:rPr>
                <w:rFonts w:hint="eastAsia" w:ascii="仿宋_GB2312" w:eastAsia="仿宋_GB2312"/>
                <w:b/>
                <w:bCs/>
                <w:color w:val="auto"/>
                <w:szCs w:val="21"/>
                <w:lang w:val="en-US" w:eastAsia="zh-CN"/>
              </w:rPr>
              <w:t>11</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szCs w:val="21"/>
              </w:rPr>
            </w:pPr>
            <w:r>
              <w:rPr>
                <w:rFonts w:hint="eastAsia" w:ascii="仿宋_GB2312" w:eastAsia="仿宋_GB2312"/>
                <w:color w:val="auto"/>
                <w:szCs w:val="21"/>
              </w:rPr>
              <w:t>开标、评标（审）环节结束后，开评标资料中出现相关人员（如项目单位、代理机构项目负责人、投标人、评标专家等）漏签</w:t>
            </w:r>
            <w:r>
              <w:rPr>
                <w:rFonts w:hint="eastAsia" w:ascii="仿宋_GB2312" w:eastAsia="仿宋_GB2312"/>
                <w:color w:val="auto"/>
                <w:szCs w:val="21"/>
                <w:lang w:eastAsia="zh-CN"/>
              </w:rPr>
              <w:t>造成不良影响</w:t>
            </w:r>
            <w:r>
              <w:rPr>
                <w:rFonts w:hint="eastAsia" w:ascii="仿宋_GB2312" w:eastAsia="仿宋_GB2312"/>
                <w:color w:val="auto"/>
                <w:szCs w:val="21"/>
              </w:rPr>
              <w:t>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Cs w:val="21"/>
              </w:rPr>
            </w:pPr>
            <w:r>
              <w:rPr>
                <w:rFonts w:hint="eastAsia" w:ascii="仿宋_GB2312" w:hAnsi="宋体" w:eastAsia="仿宋_GB2312" w:cs="仿宋_GB2312"/>
                <w:color w:val="auto"/>
                <w:kern w:val="0"/>
                <w:szCs w:val="21"/>
              </w:rPr>
              <w:t>每发现一次扣2分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default" w:ascii="宋体" w:hAnsi="宋体" w:eastAsiaTheme="minorEastAsia"/>
                <w:color w:val="auto"/>
                <w:sz w:val="20"/>
                <w:szCs w:val="20"/>
                <w:lang w:val="en-US" w:eastAsia="zh-CN"/>
              </w:rPr>
            </w:pPr>
            <w:r>
              <w:rPr>
                <w:rFonts w:hint="eastAsia" w:ascii="仿宋_GB2312" w:eastAsia="仿宋_GB2312"/>
                <w:b/>
                <w:bCs/>
                <w:color w:val="auto"/>
                <w:szCs w:val="21"/>
                <w:lang w:val="en-US" w:eastAsia="zh-CN"/>
              </w:rPr>
              <w:t>12</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szCs w:val="21"/>
              </w:rPr>
            </w:pPr>
            <w:r>
              <w:rPr>
                <w:rFonts w:hint="eastAsia" w:ascii="仿宋_GB2312" w:eastAsia="仿宋_GB2312"/>
                <w:color w:val="auto"/>
                <w:szCs w:val="21"/>
              </w:rPr>
              <w:t>项目公告、文件等信息发布</w:t>
            </w:r>
            <w:r>
              <w:rPr>
                <w:rFonts w:hint="eastAsia" w:ascii="仿宋_GB2312" w:eastAsia="仿宋_GB2312"/>
                <w:color w:val="auto"/>
                <w:szCs w:val="21"/>
                <w:lang w:eastAsia="zh-CN"/>
              </w:rPr>
              <w:t>错误或者</w:t>
            </w:r>
            <w:r>
              <w:rPr>
                <w:rFonts w:hint="eastAsia" w:ascii="仿宋_GB2312" w:eastAsia="仿宋_GB2312"/>
                <w:color w:val="auto"/>
                <w:szCs w:val="21"/>
              </w:rPr>
              <w:t>开标、评标（审）时，出现电子系统操作错误的；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Cs w:val="21"/>
              </w:rPr>
            </w:pPr>
            <w:r>
              <w:rPr>
                <w:rFonts w:hint="eastAsia" w:ascii="仿宋_GB2312" w:hAnsi="宋体" w:eastAsia="仿宋_GB2312" w:cs="仿宋_GB2312"/>
                <w:color w:val="auto"/>
                <w:kern w:val="0"/>
                <w:szCs w:val="21"/>
              </w:rPr>
              <w:t>每发现一次扣2分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8"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default" w:ascii="宋体" w:hAnsi="宋体" w:eastAsiaTheme="minorEastAsia"/>
                <w:color w:val="auto"/>
                <w:sz w:val="20"/>
                <w:szCs w:val="20"/>
                <w:lang w:val="en-US" w:eastAsia="zh-CN"/>
              </w:rPr>
            </w:pPr>
            <w:r>
              <w:rPr>
                <w:rFonts w:hint="eastAsia" w:ascii="仿宋_GB2312" w:eastAsia="仿宋_GB2312"/>
                <w:b/>
                <w:bCs/>
                <w:color w:val="auto"/>
                <w:szCs w:val="21"/>
                <w:lang w:val="en-US" w:eastAsia="zh-CN"/>
              </w:rPr>
              <w:t>13</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szCs w:val="21"/>
              </w:rPr>
            </w:pPr>
            <w:r>
              <w:rPr>
                <w:rFonts w:hint="eastAsia" w:ascii="仿宋_GB2312" w:eastAsia="仿宋_GB2312"/>
                <w:color w:val="auto"/>
                <w:szCs w:val="21"/>
              </w:rPr>
              <w:t>交易异常或终止交易后未进入电子交易平台办理相关手续的；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Cs w:val="21"/>
              </w:rPr>
            </w:pPr>
            <w:r>
              <w:rPr>
                <w:rFonts w:hint="eastAsia" w:ascii="仿宋_GB2312" w:hAnsi="宋体" w:eastAsia="仿宋_GB2312" w:cs="仿宋_GB2312"/>
                <w:color w:val="auto"/>
                <w:kern w:val="0"/>
                <w:szCs w:val="21"/>
              </w:rPr>
              <w:t>每发现一次扣2分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1"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eastAsia" w:ascii="宋体" w:hAnsi="宋体" w:eastAsiaTheme="minorEastAsia"/>
                <w:color w:val="auto"/>
                <w:sz w:val="20"/>
                <w:szCs w:val="20"/>
                <w:lang w:eastAsia="zh-CN"/>
              </w:rPr>
            </w:pPr>
            <w:r>
              <w:rPr>
                <w:rFonts w:hint="eastAsia" w:ascii="仿宋_GB2312" w:eastAsia="仿宋_GB2312"/>
                <w:b/>
                <w:bCs/>
                <w:color w:val="auto"/>
                <w:szCs w:val="21"/>
                <w:lang w:val="en-US" w:eastAsia="zh-CN"/>
              </w:rPr>
              <w:t>14</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szCs w:val="21"/>
              </w:rPr>
            </w:pPr>
            <w:r>
              <w:rPr>
                <w:rFonts w:hint="eastAsia" w:ascii="仿宋_GB2312" w:eastAsia="仿宋_GB2312"/>
                <w:color w:val="auto"/>
                <w:szCs w:val="21"/>
              </w:rPr>
              <w:t>未按规定在电子交易平台中回复投标人（供应商）提出的异议或未在规定的时间发布或漏发澄清答疑的；</w:t>
            </w:r>
            <w:r>
              <w:rPr>
                <w:rFonts w:ascii="仿宋_GB2312" w:hAnsi="宋体" w:eastAsia="仿宋_GB2312" w:cs="仿宋_GB2312"/>
                <w:color w:val="auto"/>
                <w:szCs w:val="21"/>
              </w:rPr>
              <w:t xml:space="preserve"> </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Cs w:val="21"/>
              </w:rPr>
            </w:pPr>
            <w:r>
              <w:rPr>
                <w:rFonts w:hint="eastAsia" w:ascii="仿宋_GB2312" w:hAnsi="宋体" w:eastAsia="仿宋_GB2312" w:cs="仿宋_GB2312"/>
                <w:color w:val="auto"/>
                <w:kern w:val="0"/>
                <w:szCs w:val="21"/>
              </w:rPr>
              <w:t>每发现一次扣2分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1"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default" w:ascii="宋体" w:hAnsi="宋体" w:eastAsiaTheme="minorEastAsia"/>
                <w:color w:val="auto"/>
                <w:sz w:val="20"/>
                <w:szCs w:val="20"/>
                <w:lang w:val="en-US" w:eastAsia="zh-CN"/>
              </w:rPr>
            </w:pPr>
            <w:r>
              <w:rPr>
                <w:rFonts w:hint="eastAsia" w:ascii="仿宋_GB2312" w:eastAsia="仿宋_GB2312"/>
                <w:b/>
                <w:bCs/>
                <w:color w:val="auto"/>
                <w:szCs w:val="21"/>
                <w:lang w:val="en-US" w:eastAsia="zh-CN"/>
              </w:rPr>
              <w:t>15</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szCs w:val="21"/>
              </w:rPr>
            </w:pPr>
            <w:r>
              <w:rPr>
                <w:rFonts w:hint="eastAsia" w:ascii="仿宋_GB2312" w:eastAsia="仿宋_GB2312"/>
                <w:color w:val="auto"/>
                <w:szCs w:val="21"/>
              </w:rPr>
              <w:t>现场交易过程中有</w:t>
            </w:r>
            <w:r>
              <w:rPr>
                <w:rFonts w:hint="eastAsia" w:ascii="仿宋_GB2312" w:eastAsia="仿宋_GB2312"/>
                <w:color w:val="auto"/>
                <w:szCs w:val="21"/>
                <w:lang w:eastAsia="zh-CN"/>
              </w:rPr>
              <w:t>故意</w:t>
            </w:r>
            <w:r>
              <w:rPr>
                <w:rFonts w:hint="eastAsia" w:ascii="仿宋_GB2312" w:eastAsia="仿宋_GB2312"/>
                <w:color w:val="auto"/>
                <w:szCs w:val="21"/>
              </w:rPr>
              <w:t>损坏公物等情况的；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Cs w:val="21"/>
              </w:rPr>
            </w:pPr>
            <w:r>
              <w:rPr>
                <w:rFonts w:hint="eastAsia" w:ascii="仿宋_GB2312" w:hAnsi="宋体" w:eastAsia="仿宋_GB2312" w:cs="仿宋_GB2312"/>
                <w:color w:val="auto"/>
                <w:kern w:val="0"/>
                <w:szCs w:val="21"/>
              </w:rPr>
              <w:t>每发现一次扣2分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0"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eastAsia" w:ascii="宋体" w:hAnsi="宋体" w:eastAsiaTheme="minorEastAsia"/>
                <w:color w:val="auto"/>
                <w:sz w:val="20"/>
                <w:szCs w:val="20"/>
                <w:lang w:eastAsia="zh-CN"/>
              </w:rPr>
            </w:pPr>
            <w:r>
              <w:rPr>
                <w:rFonts w:hint="eastAsia" w:ascii="仿宋_GB2312" w:eastAsia="仿宋_GB2312"/>
                <w:b/>
                <w:bCs/>
                <w:color w:val="auto"/>
                <w:szCs w:val="21"/>
                <w:lang w:val="en-US" w:eastAsia="zh-CN"/>
              </w:rPr>
              <w:t>16</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szCs w:val="21"/>
              </w:rPr>
            </w:pPr>
            <w:r>
              <w:rPr>
                <w:rFonts w:hint="eastAsia" w:ascii="仿宋_GB2312" w:eastAsia="仿宋_GB2312"/>
                <w:color w:val="auto"/>
                <w:szCs w:val="21"/>
                <w:lang w:eastAsia="zh-CN"/>
              </w:rPr>
              <w:t>未按相关规定申请抽取专家的；或者</w:t>
            </w:r>
            <w:r>
              <w:rPr>
                <w:rFonts w:hint="eastAsia" w:ascii="仿宋_GB2312" w:eastAsia="仿宋_GB2312"/>
                <w:color w:val="auto"/>
                <w:szCs w:val="21"/>
              </w:rPr>
              <w:t>未按相关规定支付评标专家劳务费导致评标专家投诉或故意抬高劳务费，扰乱市场行价的；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Cs w:val="21"/>
              </w:rPr>
            </w:pPr>
            <w:r>
              <w:rPr>
                <w:rFonts w:hint="eastAsia" w:ascii="仿宋_GB2312" w:hAnsi="宋体" w:eastAsia="仿宋_GB2312" w:cs="仿宋_GB2312"/>
                <w:color w:val="auto"/>
                <w:kern w:val="0"/>
                <w:szCs w:val="21"/>
              </w:rPr>
              <w:t>每发现一次扣2分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eastAsia" w:ascii="宋体" w:hAnsi="宋体" w:eastAsiaTheme="minorEastAsia"/>
                <w:color w:val="auto"/>
                <w:sz w:val="20"/>
                <w:szCs w:val="20"/>
                <w:lang w:eastAsia="zh-CN"/>
              </w:rPr>
            </w:pPr>
            <w:r>
              <w:rPr>
                <w:rFonts w:hint="eastAsia" w:ascii="仿宋_GB2312" w:eastAsia="仿宋_GB2312"/>
                <w:b/>
                <w:bCs/>
                <w:color w:val="auto"/>
                <w:szCs w:val="21"/>
                <w:lang w:val="en-US" w:eastAsia="zh-CN"/>
              </w:rPr>
              <w:t>17</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szCs w:val="21"/>
              </w:rPr>
            </w:pPr>
            <w:r>
              <w:rPr>
                <w:rFonts w:hint="eastAsia" w:ascii="仿宋_GB2312" w:eastAsia="仿宋_GB2312"/>
                <w:color w:val="auto"/>
                <w:szCs w:val="21"/>
              </w:rPr>
              <w:t>交易失败后未认真分析交易失败原因并采取有效措施，再次交易失败；</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Cs w:val="21"/>
              </w:rPr>
            </w:pPr>
            <w:r>
              <w:rPr>
                <w:rFonts w:hint="eastAsia" w:ascii="仿宋_GB2312" w:hAnsi="宋体" w:eastAsia="仿宋_GB2312" w:cs="仿宋_GB2312"/>
                <w:color w:val="auto"/>
                <w:kern w:val="0"/>
                <w:szCs w:val="21"/>
              </w:rPr>
              <w:t>每发现一次扣2分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6"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default" w:ascii="宋体" w:hAnsi="宋体" w:eastAsiaTheme="minorEastAsia"/>
                <w:color w:val="auto"/>
                <w:sz w:val="20"/>
                <w:szCs w:val="20"/>
                <w:lang w:val="en-US" w:eastAsia="zh-CN"/>
              </w:rPr>
            </w:pPr>
            <w:r>
              <w:rPr>
                <w:rFonts w:hint="eastAsia" w:ascii="仿宋_GB2312" w:eastAsia="仿宋_GB2312"/>
                <w:b/>
                <w:bCs/>
                <w:color w:val="auto"/>
                <w:szCs w:val="21"/>
                <w:lang w:val="en-US" w:eastAsia="zh-CN"/>
              </w:rPr>
              <w:t>18</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szCs w:val="21"/>
              </w:rPr>
            </w:pPr>
            <w:r>
              <w:rPr>
                <w:rFonts w:hint="eastAsia" w:ascii="仿宋_GB2312" w:eastAsia="仿宋_GB2312"/>
                <w:color w:val="auto"/>
                <w:szCs w:val="21"/>
              </w:rPr>
              <w:t>无正当理由不按要求参加公管局及交易中心组织的会议、学习和培训；</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Cs w:val="21"/>
              </w:rPr>
            </w:pPr>
            <w:r>
              <w:rPr>
                <w:rFonts w:hint="eastAsia" w:ascii="仿宋_GB2312" w:hAnsi="宋体" w:eastAsia="仿宋_GB2312" w:cs="仿宋_GB2312"/>
                <w:color w:val="auto"/>
                <w:kern w:val="0"/>
                <w:szCs w:val="21"/>
              </w:rPr>
              <w:t>每发现一次扣2分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8"/>
                <w:szCs w:val="28"/>
              </w:rPr>
            </w:pPr>
            <w:r>
              <w:rPr>
                <w:rFonts w:hint="eastAsia" w:ascii="宋体" w:hAnsi="宋体"/>
                <w:color w:val="auto"/>
                <w:kern w:val="0"/>
                <w:sz w:val="20"/>
                <w:szCs w:val="20"/>
              </w:rPr>
              <w:t>共50分扣完为止</w:t>
            </w: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b/>
                <w:color w:val="auto"/>
                <w:sz w:val="20"/>
                <w:szCs w:val="20"/>
              </w:rPr>
            </w:pPr>
            <w:r>
              <w:rPr>
                <w:rFonts w:hint="eastAsia" w:ascii="宋体" w:hAnsi="宋体"/>
                <w:b/>
                <w:color w:val="auto"/>
                <w:kern w:val="0"/>
                <w:sz w:val="20"/>
                <w:szCs w:val="20"/>
              </w:rPr>
              <w:t>较重扣分情形</w:t>
            </w: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default" w:ascii="仿宋_GB2312" w:eastAsia="仿宋_GB2312" w:hAnsiTheme="minorHAnsi" w:cstheme="minorBidi"/>
                <w:b/>
                <w:bCs/>
                <w:color w:val="auto"/>
                <w:kern w:val="2"/>
                <w:sz w:val="21"/>
                <w:szCs w:val="21"/>
                <w:lang w:val="en-US" w:eastAsia="zh-CN" w:bidi="ar-SA"/>
              </w:rPr>
            </w:pPr>
            <w:r>
              <w:rPr>
                <w:rFonts w:hint="eastAsia" w:ascii="仿宋_GB2312" w:eastAsia="仿宋_GB2312"/>
                <w:b/>
                <w:bCs/>
                <w:color w:val="auto"/>
                <w:szCs w:val="21"/>
                <w:lang w:val="en-US" w:eastAsia="zh-CN"/>
              </w:rPr>
              <w:t>19</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未按规定在电子交易平台办理保证金</w:t>
            </w:r>
            <w:r>
              <w:rPr>
                <w:rFonts w:hint="eastAsia" w:ascii="仿宋_GB2312" w:eastAsia="仿宋_GB2312"/>
                <w:color w:val="auto"/>
                <w:szCs w:val="21"/>
                <w:lang w:eastAsia="zh-CN"/>
              </w:rPr>
              <w:t>缴纳、退还</w:t>
            </w:r>
            <w:r>
              <w:rPr>
                <w:rFonts w:hint="eastAsia" w:ascii="仿宋_GB2312" w:eastAsia="仿宋_GB2312"/>
                <w:color w:val="auto"/>
                <w:szCs w:val="21"/>
              </w:rPr>
              <w:t>手续的；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每发现一次扣3分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各级公管局</w:t>
            </w:r>
            <w:r>
              <w:rPr>
                <w:rFonts w:hint="eastAsia" w:ascii="仿宋_GB2312" w:hAnsi="宋体" w:eastAsia="仿宋_GB2312" w:cs="仿宋_GB2312"/>
                <w:color w:val="auto"/>
                <w:sz w:val="20"/>
                <w:szCs w:val="20"/>
              </w:rPr>
              <w:t>或交易中心</w:t>
            </w:r>
            <w:r>
              <w:rPr>
                <w:rFonts w:hint="eastAsia" w:ascii="仿宋_GB2312" w:hAnsi="宋体" w:eastAsia="仿宋_GB2312" w:cs="仿宋_GB2312"/>
                <w:color w:val="auto"/>
                <w:kern w:val="0"/>
                <w:sz w:val="20"/>
                <w:szCs w:val="20"/>
              </w:rPr>
              <w:t>，由市交易中心统一计分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6"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kern w:val="0"/>
                <w:sz w:val="21"/>
                <w:szCs w:val="21"/>
                <w:lang w:val="en-US" w:eastAsia="zh-CN" w:bidi="ar-SA"/>
              </w:rPr>
            </w:pPr>
            <w:r>
              <w:rPr>
                <w:rFonts w:hint="eastAsia" w:ascii="仿宋_GB2312" w:eastAsia="仿宋_GB2312"/>
                <w:b/>
                <w:bCs/>
                <w:color w:val="auto"/>
                <w:szCs w:val="21"/>
              </w:rPr>
              <w:t>2</w:t>
            </w:r>
            <w:r>
              <w:rPr>
                <w:rFonts w:hint="eastAsia" w:ascii="仿宋_GB2312" w:eastAsia="仿宋_GB2312"/>
                <w:b/>
                <w:bCs/>
                <w:color w:val="auto"/>
                <w:szCs w:val="21"/>
                <w:lang w:val="en-US" w:eastAsia="zh-CN"/>
              </w:rPr>
              <w:t>0</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hint="eastAsia" w:ascii="仿宋_GB2312" w:hAnsi="宋体" w:eastAsia="仿宋_GB2312" w:cs="仿宋_GB2312"/>
                <w:color w:val="auto"/>
                <w:kern w:val="0"/>
                <w:sz w:val="21"/>
                <w:szCs w:val="21"/>
                <w:lang w:val="en-US" w:eastAsia="zh-CN" w:bidi="ar-SA"/>
              </w:rPr>
            </w:pPr>
            <w:r>
              <w:rPr>
                <w:rFonts w:hint="eastAsia" w:ascii="仿宋_GB2312" w:eastAsia="仿宋_GB2312"/>
                <w:color w:val="auto"/>
                <w:szCs w:val="21"/>
              </w:rPr>
              <w:t>从事代理服务时受到项目单位、市场主体或其他利害关系人投诉举报，经核实确属代理机构人员工作不当引起的；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kern w:val="0"/>
                <w:sz w:val="21"/>
                <w:szCs w:val="21"/>
                <w:lang w:val="en-US" w:eastAsia="zh-CN" w:bidi="ar-SA"/>
              </w:rPr>
            </w:pPr>
            <w:r>
              <w:rPr>
                <w:rFonts w:hint="eastAsia" w:ascii="仿宋_GB2312" w:hAnsi="宋体" w:eastAsia="仿宋_GB2312" w:cs="仿宋_GB2312"/>
                <w:color w:val="auto"/>
                <w:kern w:val="0"/>
                <w:szCs w:val="21"/>
              </w:rPr>
              <w:t>每发现一次扣3分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kern w:val="2"/>
                <w:sz w:val="20"/>
                <w:szCs w:val="20"/>
                <w:lang w:val="en-US" w:eastAsia="zh-CN" w:bidi="ar-SA"/>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6"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eastAsia="仿宋_GB2312"/>
                <w:b/>
                <w:bCs/>
                <w:color w:val="auto"/>
                <w:szCs w:val="21"/>
              </w:rPr>
              <w:t>2</w:t>
            </w:r>
            <w:r>
              <w:rPr>
                <w:rFonts w:hint="eastAsia" w:ascii="仿宋_GB2312" w:eastAsia="仿宋_GB2312"/>
                <w:b/>
                <w:bCs/>
                <w:color w:val="auto"/>
                <w:szCs w:val="21"/>
                <w:lang w:val="en-US" w:eastAsia="zh-CN"/>
              </w:rPr>
              <w:t>1</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rPr>
              <w:t>项目单位对代理服务质量不满意</w:t>
            </w:r>
            <w:r>
              <w:rPr>
                <w:rFonts w:hint="eastAsia" w:ascii="仿宋_GB2312" w:eastAsia="仿宋_GB2312"/>
                <w:color w:val="auto"/>
                <w:szCs w:val="21"/>
                <w:lang w:eastAsia="zh-CN"/>
              </w:rPr>
              <w:t>，被认定情况属实</w:t>
            </w:r>
            <w:r>
              <w:rPr>
                <w:rFonts w:hint="eastAsia" w:ascii="仿宋_GB2312" w:eastAsia="仿宋_GB2312"/>
                <w:color w:val="auto"/>
                <w:szCs w:val="21"/>
              </w:rPr>
              <w:t>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每发现一次扣3分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eastAsia="仿宋_GB2312"/>
                <w:b/>
                <w:bCs/>
                <w:color w:val="auto"/>
                <w:szCs w:val="21"/>
              </w:rPr>
              <w:t>2</w:t>
            </w:r>
            <w:r>
              <w:rPr>
                <w:rFonts w:hint="eastAsia" w:ascii="仿宋_GB2312" w:eastAsia="仿宋_GB2312"/>
                <w:b/>
                <w:bCs/>
                <w:color w:val="auto"/>
                <w:szCs w:val="21"/>
                <w:lang w:val="en-US" w:eastAsia="zh-CN"/>
              </w:rPr>
              <w:t>2</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rPr>
              <w:t>开评标过程所使用交易文件与公开发布的交易文件不一致的；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每发现一次扣3分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eastAsia="仿宋_GB2312"/>
                <w:b/>
                <w:bCs/>
                <w:color w:val="auto"/>
                <w:szCs w:val="21"/>
              </w:rPr>
              <w:t>2</w:t>
            </w:r>
            <w:r>
              <w:rPr>
                <w:rFonts w:hint="eastAsia" w:ascii="仿宋_GB2312" w:eastAsia="仿宋_GB2312"/>
                <w:b/>
                <w:bCs/>
                <w:color w:val="auto"/>
                <w:szCs w:val="21"/>
                <w:lang w:val="en-US" w:eastAsia="zh-CN"/>
              </w:rPr>
              <w:t>3</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rPr>
              <w:t>未及时在交易系统中录入数据的或录入数据有误、不完整、录入重复数据等，被</w:t>
            </w:r>
            <w:r>
              <w:rPr>
                <w:rFonts w:hint="eastAsia" w:ascii="仿宋_GB2312" w:eastAsia="仿宋_GB2312"/>
                <w:color w:val="auto"/>
                <w:szCs w:val="21"/>
                <w:lang w:val="en-US" w:eastAsia="zh-CN"/>
              </w:rPr>
              <w:t>公管局、交易中心检查发现或造成不良影响的</w:t>
            </w:r>
            <w:r>
              <w:rPr>
                <w:rFonts w:hint="eastAsia" w:ascii="仿宋_GB2312" w:eastAsia="仿宋_GB2312"/>
                <w:color w:val="auto"/>
                <w:szCs w:val="21"/>
              </w:rPr>
              <w:t>；</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每发现一次扣3分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eastAsia="仿宋_GB2312"/>
                <w:b/>
                <w:bCs/>
                <w:color w:val="auto"/>
                <w:szCs w:val="21"/>
              </w:rPr>
              <w:t>2</w:t>
            </w:r>
            <w:r>
              <w:rPr>
                <w:rFonts w:hint="eastAsia" w:ascii="仿宋_GB2312" w:eastAsia="仿宋_GB2312"/>
                <w:b/>
                <w:bCs/>
                <w:color w:val="auto"/>
                <w:szCs w:val="21"/>
                <w:lang w:val="en-US" w:eastAsia="zh-CN"/>
              </w:rPr>
              <w:t>4</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rPr>
              <w:t>中标通知书发出后，未及时督促中标人在规定的时间内签订合同；</w:t>
            </w:r>
            <w:r>
              <w:rPr>
                <w:rFonts w:hint="eastAsia" w:ascii="仿宋_GB2312" w:eastAsia="仿宋_GB2312"/>
                <w:color w:val="auto"/>
                <w:szCs w:val="21"/>
                <w:lang w:eastAsia="zh-CN"/>
              </w:rPr>
              <w:t>因代理机构自身原因</w:t>
            </w:r>
            <w:r>
              <w:rPr>
                <w:rFonts w:hint="eastAsia" w:ascii="仿宋_GB2312" w:eastAsia="仿宋_GB2312"/>
                <w:color w:val="auto"/>
                <w:szCs w:val="21"/>
              </w:rPr>
              <w:t>未及时网上发布中标结果公告或未及时在网上公开合同及履约信息的；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每发现一次扣3分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eastAsia="仿宋_GB2312"/>
                <w:b/>
                <w:bCs/>
                <w:color w:val="auto"/>
                <w:szCs w:val="21"/>
              </w:rPr>
              <w:t>2</w:t>
            </w:r>
            <w:r>
              <w:rPr>
                <w:rFonts w:hint="eastAsia" w:ascii="仿宋_GB2312" w:eastAsia="仿宋_GB2312"/>
                <w:b/>
                <w:bCs/>
                <w:color w:val="auto"/>
                <w:szCs w:val="21"/>
                <w:lang w:val="en-US" w:eastAsia="zh-CN"/>
              </w:rPr>
              <w:t>5</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rPr>
              <w:t>未按规定发布交易项目登记、公告、中标候选人公示、中标（成交）结果公示、中标通知书等内容</w:t>
            </w:r>
            <w:r>
              <w:rPr>
                <w:rFonts w:hint="eastAsia" w:ascii="仿宋_GB2312" w:eastAsia="仿宋_GB2312"/>
                <w:color w:val="auto"/>
                <w:szCs w:val="21"/>
                <w:lang w:eastAsia="zh-CN"/>
              </w:rPr>
              <w:t>；或者</w:t>
            </w:r>
            <w:r>
              <w:rPr>
                <w:rFonts w:hint="eastAsia" w:ascii="仿宋_GB2312" w:eastAsia="仿宋_GB2312"/>
                <w:color w:val="auto"/>
                <w:szCs w:val="21"/>
              </w:rPr>
              <w:t>未按规定使用有关部门制定的标准文本或者示范文本编制交易文件，擅自修改统一规定内容，且事先未经项目单位、监管部门同意</w:t>
            </w:r>
            <w:r>
              <w:rPr>
                <w:rFonts w:hint="eastAsia" w:ascii="仿宋_GB2312" w:eastAsia="仿宋_GB2312"/>
                <w:color w:val="auto"/>
                <w:szCs w:val="21"/>
                <w:lang w:eastAsia="zh-CN"/>
              </w:rPr>
              <w:t>，</w:t>
            </w:r>
            <w:r>
              <w:rPr>
                <w:rFonts w:hint="eastAsia" w:ascii="仿宋_GB2312" w:eastAsia="仿宋_GB2312"/>
                <w:color w:val="auto"/>
                <w:szCs w:val="21"/>
              </w:rPr>
              <w:t>或发布的内容不完整不准确，出现错误的；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每发现一次扣3分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7"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default" w:ascii="仿宋_GB2312" w:hAnsi="宋体" w:eastAsia="仿宋_GB2312" w:cs="仿宋_GB2312"/>
                <w:color w:val="auto"/>
                <w:kern w:val="0"/>
                <w:szCs w:val="21"/>
                <w:lang w:val="en-US" w:eastAsia="zh-CN"/>
              </w:rPr>
            </w:pPr>
            <w:r>
              <w:rPr>
                <w:rFonts w:hint="eastAsia" w:ascii="仿宋_GB2312" w:eastAsia="仿宋_GB2312"/>
                <w:b/>
                <w:bCs/>
                <w:color w:val="auto"/>
                <w:szCs w:val="21"/>
                <w:lang w:val="en-US" w:eastAsia="zh-CN"/>
              </w:rPr>
              <w:t>26</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rPr>
              <w:t>向投标（资格预审申请）人收取交易（资格预审）文件、图纸</w:t>
            </w:r>
            <w:r>
              <w:rPr>
                <w:rFonts w:hint="eastAsia" w:ascii="仿宋_GB2312" w:eastAsia="仿宋_GB2312"/>
                <w:color w:val="auto"/>
                <w:szCs w:val="21"/>
                <w:lang w:eastAsia="zh-CN"/>
              </w:rPr>
              <w:t>以及其他</w:t>
            </w:r>
            <w:r>
              <w:rPr>
                <w:rFonts w:hint="eastAsia" w:ascii="仿宋_GB2312" w:eastAsia="仿宋_GB2312"/>
                <w:color w:val="auto"/>
                <w:szCs w:val="21"/>
              </w:rPr>
              <w:t>不应当收取的费用；</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每发现一次扣3分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eastAsia="仿宋_GB2312"/>
                <w:b/>
                <w:bCs/>
                <w:color w:val="auto"/>
                <w:szCs w:val="21"/>
              </w:rPr>
              <w:t>2</w:t>
            </w:r>
            <w:r>
              <w:rPr>
                <w:rFonts w:hint="eastAsia" w:ascii="仿宋_GB2312" w:eastAsia="仿宋_GB2312"/>
                <w:b/>
                <w:bCs/>
                <w:color w:val="auto"/>
                <w:szCs w:val="21"/>
                <w:lang w:val="en-US" w:eastAsia="zh-CN"/>
              </w:rPr>
              <w:t>7</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lang w:eastAsia="zh-CN"/>
              </w:rPr>
              <w:t>未按照法律法规等规定，</w:t>
            </w:r>
            <w:r>
              <w:rPr>
                <w:rFonts w:hint="eastAsia" w:ascii="仿宋_GB2312" w:eastAsia="仿宋_GB2312"/>
                <w:color w:val="auto"/>
                <w:szCs w:val="21"/>
              </w:rPr>
              <w:t>对已发出的资格预审文件或者交易文件进行必要的澄清或者修改，澄清或者修改的内容可能影响资格预审申请文件或者投标文件编制</w:t>
            </w:r>
            <w:r>
              <w:rPr>
                <w:rFonts w:hint="eastAsia" w:ascii="仿宋_GB2312" w:eastAsia="仿宋_GB2312"/>
                <w:color w:val="auto"/>
                <w:szCs w:val="21"/>
                <w:lang w:eastAsia="zh-CN"/>
              </w:rPr>
              <w:t>的</w:t>
            </w:r>
            <w:r>
              <w:rPr>
                <w:rFonts w:hint="eastAsia" w:ascii="仿宋_GB2312" w:eastAsia="仿宋_GB2312"/>
                <w:color w:val="auto"/>
                <w:szCs w:val="21"/>
              </w:rPr>
              <w:t>；</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每发现一次扣3分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eastAsia="仿宋_GB2312"/>
                <w:b/>
                <w:bCs/>
                <w:color w:val="auto"/>
                <w:szCs w:val="21"/>
              </w:rPr>
              <w:t>2</w:t>
            </w:r>
            <w:r>
              <w:rPr>
                <w:rFonts w:hint="eastAsia" w:ascii="仿宋_GB2312" w:eastAsia="仿宋_GB2312"/>
                <w:b/>
                <w:bCs/>
                <w:color w:val="auto"/>
                <w:szCs w:val="21"/>
                <w:lang w:val="en-US" w:eastAsia="zh-CN"/>
              </w:rPr>
              <w:t>8</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rPr>
              <w:t>项目办理容缺手续，未按承诺期限补齐相关资料的；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每发现一次扣3分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default" w:ascii="仿宋_GB2312" w:hAnsi="宋体" w:eastAsia="仿宋_GB2312" w:cs="仿宋_GB2312"/>
                <w:color w:val="auto"/>
                <w:kern w:val="0"/>
                <w:szCs w:val="21"/>
                <w:lang w:val="en-US" w:eastAsia="zh-CN"/>
              </w:rPr>
            </w:pPr>
            <w:r>
              <w:rPr>
                <w:rFonts w:hint="eastAsia" w:ascii="仿宋_GB2312" w:eastAsia="仿宋_GB2312"/>
                <w:b/>
                <w:bCs/>
                <w:color w:val="auto"/>
                <w:szCs w:val="21"/>
                <w:lang w:val="en-US" w:eastAsia="zh-CN"/>
              </w:rPr>
              <w:t>29</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rPr>
              <w:t>同一招标项目向潜在投标人或者投标人提供有差别的项目信息，限制、排斥潜在投标人或对潜在投标人或者投标人采取不同的资格审查或者评标标准的；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每发现一次扣3分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1"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eastAsia="仿宋_GB2312"/>
                <w:b/>
                <w:bCs/>
                <w:color w:val="auto"/>
                <w:szCs w:val="21"/>
              </w:rPr>
              <w:t>3</w:t>
            </w:r>
            <w:r>
              <w:rPr>
                <w:rFonts w:hint="eastAsia" w:ascii="仿宋_GB2312" w:eastAsia="仿宋_GB2312"/>
                <w:b/>
                <w:bCs/>
                <w:color w:val="auto"/>
                <w:szCs w:val="21"/>
                <w:lang w:val="en-US" w:eastAsia="zh-CN"/>
              </w:rPr>
              <w:t>0</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rPr>
              <w:t>设定的资格、技术、商务条件与交易项目的具体特点和实际需要不相适应或者与合同履行无关；</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每发现一次扣3分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8"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eastAsia="仿宋_GB2312"/>
                <w:b/>
                <w:bCs/>
                <w:color w:val="auto"/>
                <w:szCs w:val="21"/>
              </w:rPr>
              <w:t>3</w:t>
            </w:r>
            <w:r>
              <w:rPr>
                <w:rFonts w:hint="eastAsia" w:ascii="仿宋_GB2312" w:eastAsia="仿宋_GB2312"/>
                <w:b/>
                <w:bCs/>
                <w:color w:val="auto"/>
                <w:szCs w:val="21"/>
                <w:lang w:val="en-US" w:eastAsia="zh-CN"/>
              </w:rPr>
              <w:t>1</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rPr>
              <w:t>依法必须进行招标的项目以特定行政区域或者特定行业的业绩、奖项作为加分条件或者中标条件；</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每发现一次扣3分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eastAsia="仿宋_GB2312"/>
                <w:b/>
                <w:bCs/>
                <w:color w:val="auto"/>
                <w:szCs w:val="21"/>
              </w:rPr>
              <w:t>3</w:t>
            </w:r>
            <w:r>
              <w:rPr>
                <w:rFonts w:hint="eastAsia" w:ascii="仿宋_GB2312" w:eastAsia="仿宋_GB2312"/>
                <w:b/>
                <w:bCs/>
                <w:color w:val="auto"/>
                <w:szCs w:val="21"/>
                <w:lang w:val="en-US" w:eastAsia="zh-CN"/>
              </w:rPr>
              <w:t>2</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rPr>
              <w:t>限定或者指定特定的专利、商标、品牌、原产地或者供应商。参照品牌少于三种、市场价格不在同一档次和未进行价格分析推荐价格差距悬殊大的作为参照品牌；</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每发现一次扣3分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eastAsia="仿宋_GB2312"/>
                <w:b/>
                <w:bCs/>
                <w:color w:val="auto"/>
                <w:szCs w:val="21"/>
              </w:rPr>
              <w:t>3</w:t>
            </w:r>
            <w:r>
              <w:rPr>
                <w:rFonts w:hint="eastAsia" w:ascii="仿宋_GB2312" w:eastAsia="仿宋_GB2312"/>
                <w:b/>
                <w:bCs/>
                <w:color w:val="auto"/>
                <w:szCs w:val="21"/>
                <w:lang w:val="en-US" w:eastAsia="zh-CN"/>
              </w:rPr>
              <w:t>3</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rPr>
              <w:t xml:space="preserve">依法必须进行招标的项目非法限定潜在投标人，非法限定投标人的所有制形式或者组织形式或以其他不合理条件限制、排斥潜在投标人或者投标人的； </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每发现一次扣3分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7"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eastAsia" w:ascii="仿宋_GB2312" w:eastAsia="仿宋_GB2312"/>
                <w:b/>
                <w:bCs/>
                <w:color w:val="auto"/>
                <w:szCs w:val="21"/>
              </w:rPr>
            </w:pPr>
            <w:r>
              <w:rPr>
                <w:rFonts w:hint="eastAsia" w:ascii="仿宋_GB2312" w:eastAsia="仿宋_GB2312"/>
                <w:b/>
                <w:bCs/>
                <w:color w:val="auto"/>
                <w:szCs w:val="21"/>
              </w:rPr>
              <w:t>3</w:t>
            </w:r>
            <w:r>
              <w:rPr>
                <w:rFonts w:hint="eastAsia" w:ascii="仿宋_GB2312" w:eastAsia="仿宋_GB2312"/>
                <w:b/>
                <w:bCs/>
                <w:color w:val="auto"/>
                <w:szCs w:val="21"/>
                <w:lang w:val="en-US" w:eastAsia="zh-CN"/>
              </w:rPr>
              <w:t>4</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hint="eastAsia" w:ascii="仿宋_GB2312" w:eastAsia="仿宋_GB2312"/>
                <w:color w:val="auto"/>
                <w:szCs w:val="21"/>
              </w:rPr>
            </w:pPr>
            <w:r>
              <w:rPr>
                <w:rFonts w:hint="eastAsia" w:ascii="仿宋_GB2312" w:eastAsia="仿宋_GB2312"/>
                <w:color w:val="auto"/>
                <w:szCs w:val="21"/>
              </w:rPr>
              <w:t>出借本公司专职从业人员或借用非本公司代理机构专职人员从事项目交易代理服务的；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每发现一次扣3分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kern w:val="0"/>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7"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eastAsia" w:ascii="仿宋_GB2312" w:eastAsia="仿宋_GB2312"/>
                <w:b/>
                <w:bCs/>
                <w:color w:val="auto"/>
                <w:szCs w:val="21"/>
              </w:rPr>
            </w:pPr>
            <w:r>
              <w:rPr>
                <w:rFonts w:hint="eastAsia" w:ascii="仿宋_GB2312" w:eastAsia="仿宋_GB2312"/>
                <w:b/>
                <w:bCs/>
                <w:color w:val="auto"/>
                <w:szCs w:val="21"/>
              </w:rPr>
              <w:t>3</w:t>
            </w:r>
            <w:r>
              <w:rPr>
                <w:rFonts w:hint="eastAsia" w:ascii="仿宋_GB2312" w:eastAsia="仿宋_GB2312"/>
                <w:b/>
                <w:bCs/>
                <w:color w:val="auto"/>
                <w:szCs w:val="21"/>
                <w:lang w:val="en-US" w:eastAsia="zh-CN"/>
              </w:rPr>
              <w:t>5</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hint="eastAsia" w:ascii="仿宋_GB2312" w:eastAsia="仿宋_GB2312"/>
                <w:color w:val="auto"/>
                <w:szCs w:val="21"/>
              </w:rPr>
            </w:pPr>
            <w:r>
              <w:rPr>
                <w:rFonts w:hint="eastAsia" w:ascii="仿宋_GB2312" w:eastAsia="仿宋_GB2312"/>
                <w:color w:val="auto"/>
                <w:szCs w:val="21"/>
              </w:rPr>
              <w:t>基础信息出现错误，经告知未在规定期限内整改的；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每发现一次扣3分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kern w:val="0"/>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7"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8"/>
                <w:szCs w:val="28"/>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default" w:ascii="仿宋_GB2312" w:hAnsi="宋体" w:eastAsia="仿宋_GB2312" w:cs="仿宋_GB2312"/>
                <w:color w:val="auto"/>
                <w:kern w:val="0"/>
                <w:szCs w:val="21"/>
                <w:lang w:val="en-US"/>
              </w:rPr>
            </w:pPr>
            <w:r>
              <w:rPr>
                <w:rFonts w:hint="eastAsia" w:ascii="仿宋_GB2312" w:eastAsia="仿宋_GB2312"/>
                <w:b/>
                <w:bCs/>
                <w:color w:val="auto"/>
                <w:szCs w:val="21"/>
                <w:lang w:val="en-US" w:eastAsia="zh-CN"/>
              </w:rPr>
              <w:t>36</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lang w:val="en-US" w:eastAsia="zh-CN"/>
              </w:rPr>
              <w:t>交易服务过程中因中介机构自身原因造成不良影响，影响较大的；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每发现一次扣3分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auto"/>
                <w:sz w:val="20"/>
                <w:szCs w:val="20"/>
              </w:rPr>
            </w:pPr>
            <w:r>
              <w:rPr>
                <w:rFonts w:hint="eastAsia" w:ascii="宋体" w:hAnsi="宋体"/>
                <w:color w:val="auto"/>
                <w:kern w:val="0"/>
                <w:sz w:val="20"/>
                <w:szCs w:val="20"/>
              </w:rPr>
              <w:t>共50分扣完为止</w:t>
            </w: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b/>
                <w:color w:val="auto"/>
                <w:sz w:val="20"/>
                <w:szCs w:val="20"/>
              </w:rPr>
            </w:pPr>
            <w:r>
              <w:rPr>
                <w:rFonts w:hint="eastAsia" w:ascii="宋体" w:hAnsi="宋体"/>
                <w:b/>
                <w:color w:val="auto"/>
                <w:kern w:val="0"/>
                <w:sz w:val="20"/>
                <w:szCs w:val="20"/>
              </w:rPr>
              <w:t>严重扣分情形</w:t>
            </w: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default" w:ascii="仿宋_GB2312" w:hAnsi="宋体" w:eastAsia="仿宋_GB2312" w:cs="仿宋_GB2312"/>
                <w:color w:val="auto"/>
                <w:kern w:val="0"/>
                <w:szCs w:val="21"/>
                <w:lang w:val="en-US" w:eastAsia="zh-CN"/>
              </w:rPr>
            </w:pPr>
            <w:r>
              <w:rPr>
                <w:rFonts w:hint="eastAsia" w:ascii="仿宋_GB2312" w:eastAsia="仿宋_GB2312"/>
                <w:b/>
                <w:bCs/>
                <w:color w:val="auto"/>
                <w:szCs w:val="21"/>
                <w:lang w:val="en-US" w:eastAsia="zh-CN"/>
              </w:rPr>
              <w:t>37</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rPr>
              <w:t>交易项目被纪检监察部门或审计部门移交查办，属于代理机构原因导致的；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每发现一次扣5分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各级公管局</w:t>
            </w:r>
            <w:r>
              <w:rPr>
                <w:rFonts w:hint="eastAsia" w:ascii="仿宋_GB2312" w:hAnsi="宋体" w:eastAsia="仿宋_GB2312" w:cs="仿宋_GB2312"/>
                <w:color w:val="auto"/>
                <w:sz w:val="20"/>
                <w:szCs w:val="20"/>
              </w:rPr>
              <w:t>或交易中心</w:t>
            </w:r>
            <w:r>
              <w:rPr>
                <w:rFonts w:hint="eastAsia" w:ascii="仿宋_GB2312" w:hAnsi="宋体" w:eastAsia="仿宋_GB2312" w:cs="仿宋_GB2312"/>
                <w:color w:val="auto"/>
                <w:kern w:val="0"/>
                <w:sz w:val="20"/>
                <w:szCs w:val="20"/>
              </w:rPr>
              <w:t>，由市交易中心统一计分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eastAsia="仿宋_GB2312"/>
                <w:b/>
                <w:bCs/>
                <w:color w:val="auto"/>
                <w:szCs w:val="21"/>
              </w:rPr>
              <w:t>3</w:t>
            </w:r>
            <w:r>
              <w:rPr>
                <w:rFonts w:hint="eastAsia" w:ascii="仿宋_GB2312" w:eastAsia="仿宋_GB2312"/>
                <w:b/>
                <w:bCs/>
                <w:color w:val="auto"/>
                <w:szCs w:val="21"/>
                <w:lang w:val="en-US" w:eastAsia="zh-CN"/>
              </w:rPr>
              <w:t>8</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rPr>
              <w:t>因代理机构质疑（异议）违法违规或者处置不当导致项目投诉的，或者代理机构不能积极配合投诉处理的；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每发现一次扣5分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default" w:ascii="仿宋_GB2312" w:hAnsi="宋体" w:eastAsia="仿宋_GB2312" w:cs="仿宋_GB2312"/>
                <w:color w:val="auto"/>
                <w:kern w:val="0"/>
                <w:szCs w:val="21"/>
                <w:lang w:val="en-US" w:eastAsia="zh-CN"/>
              </w:rPr>
            </w:pPr>
            <w:r>
              <w:rPr>
                <w:rFonts w:hint="eastAsia" w:ascii="仿宋_GB2312" w:hAnsi="宋体" w:eastAsia="仿宋_GB2312" w:cs="仿宋_GB2312"/>
                <w:b/>
                <w:bCs/>
                <w:color w:val="auto"/>
                <w:kern w:val="0"/>
                <w:szCs w:val="21"/>
                <w:lang w:val="en-US" w:eastAsia="zh-CN"/>
              </w:rPr>
              <w:t>39</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rPr>
              <w:t>评标期间，项目负责人未经许可使用通讯工具的或非项目负责人擅自出入评标区的；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每发现一次扣5分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default" w:ascii="仿宋_GB2312" w:hAnsi="宋体" w:eastAsia="仿宋_GB2312" w:cs="仿宋_GB2312"/>
                <w:color w:val="auto"/>
                <w:kern w:val="0"/>
                <w:szCs w:val="21"/>
                <w:lang w:val="en-US"/>
              </w:rPr>
            </w:pPr>
            <w:r>
              <w:rPr>
                <w:rFonts w:hint="eastAsia" w:ascii="仿宋_GB2312" w:eastAsia="仿宋_GB2312"/>
                <w:b/>
                <w:bCs/>
                <w:color w:val="auto"/>
                <w:szCs w:val="21"/>
                <w:lang w:val="en-US" w:eastAsia="zh-CN"/>
              </w:rPr>
              <w:t>40</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rPr>
              <w:t>不按照交易文件规定的时间、地点开标、评标，有特殊情未说明理由的；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每发现一次扣5分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b/>
                <w:bCs/>
                <w:color w:val="auto"/>
                <w:kern w:val="0"/>
                <w:szCs w:val="21"/>
              </w:rPr>
              <w:t>4</w:t>
            </w:r>
            <w:r>
              <w:rPr>
                <w:rFonts w:hint="eastAsia" w:ascii="仿宋_GB2312" w:hAnsi="宋体" w:eastAsia="仿宋_GB2312" w:cs="仿宋_GB2312"/>
                <w:b/>
                <w:bCs/>
                <w:color w:val="auto"/>
                <w:kern w:val="0"/>
                <w:szCs w:val="21"/>
                <w:lang w:val="en-US" w:eastAsia="zh-CN"/>
              </w:rPr>
              <w:t>1</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rPr>
              <w:t>开标、评标（审）环节中，因代理机构编制交易文件有误、投标文件上传节点设置错误等代理机构自身原因影响开评标工作，导致无法正常进行或造成严重不良影响甚至重新交易的；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每发现一次扣5分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default" w:ascii="仿宋_GB2312" w:hAnsi="宋体" w:eastAsia="仿宋_GB2312" w:cs="仿宋_GB2312"/>
                <w:color w:val="auto"/>
                <w:kern w:val="0"/>
                <w:szCs w:val="21"/>
                <w:lang w:val="en-US" w:eastAsia="zh-CN"/>
              </w:rPr>
            </w:pPr>
            <w:r>
              <w:rPr>
                <w:rFonts w:hint="eastAsia" w:ascii="仿宋_GB2312" w:eastAsia="仿宋_GB2312"/>
                <w:b/>
                <w:bCs/>
                <w:color w:val="auto"/>
                <w:szCs w:val="21"/>
                <w:lang w:val="en-US" w:eastAsia="zh-CN"/>
              </w:rPr>
              <w:t>42</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rPr>
              <w:t>以给予回扣、恶意压低收费等方式进行不正当竞争。代理服务费用由中标人支付的，未在代理服务项目的交易文件中明确或未明确费用金额等情况的；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每发现一次扣5分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7"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eastAsia="仿宋_GB2312"/>
                <w:b/>
                <w:bCs/>
                <w:color w:val="auto"/>
                <w:szCs w:val="21"/>
              </w:rPr>
              <w:t>4</w:t>
            </w:r>
            <w:r>
              <w:rPr>
                <w:rFonts w:hint="eastAsia" w:ascii="仿宋_GB2312" w:eastAsia="仿宋_GB2312"/>
                <w:b/>
                <w:bCs/>
                <w:color w:val="auto"/>
                <w:szCs w:val="21"/>
                <w:lang w:val="en-US" w:eastAsia="zh-CN"/>
              </w:rPr>
              <w:t>3</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rPr>
              <w:t>从业人员同时受聘于两家及以上代理机构的；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每发现一次扣5分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eastAsia="仿宋_GB2312"/>
                <w:b/>
                <w:bCs/>
                <w:color w:val="auto"/>
                <w:szCs w:val="21"/>
              </w:rPr>
              <w:t>4</w:t>
            </w:r>
            <w:r>
              <w:rPr>
                <w:rFonts w:hint="eastAsia" w:ascii="仿宋_GB2312" w:eastAsia="仿宋_GB2312"/>
                <w:b/>
                <w:bCs/>
                <w:color w:val="auto"/>
                <w:szCs w:val="21"/>
                <w:lang w:val="en-US" w:eastAsia="zh-CN"/>
              </w:rPr>
              <w:t>4</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rPr>
              <w:t>强制要求投标人组成联合体共同投标，或故意设置多资质不接受联合体作为资格条件，为潜在少数投标人提供便利的；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每发现一次扣5分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eastAsia="仿宋_GB2312"/>
                <w:b/>
                <w:bCs/>
                <w:color w:val="auto"/>
                <w:szCs w:val="21"/>
              </w:rPr>
              <w:t>4</w:t>
            </w:r>
            <w:r>
              <w:rPr>
                <w:rFonts w:hint="eastAsia" w:ascii="仿宋_GB2312" w:eastAsia="仿宋_GB2312"/>
                <w:b/>
                <w:bCs/>
                <w:color w:val="auto"/>
                <w:szCs w:val="21"/>
                <w:lang w:val="en-US" w:eastAsia="zh-CN"/>
              </w:rPr>
              <w:t>5</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rPr>
              <w:t>擅自提高投标保证金或履约保证金金额，</w:t>
            </w:r>
            <w:r>
              <w:rPr>
                <w:rFonts w:hint="eastAsia" w:ascii="仿宋_GB2312" w:eastAsia="仿宋_GB2312"/>
                <w:color w:val="auto"/>
                <w:szCs w:val="21"/>
                <w:lang w:eastAsia="zh-CN"/>
              </w:rPr>
              <w:t>违规收取政府采购货物、服务质量保证金，</w:t>
            </w:r>
            <w:r>
              <w:rPr>
                <w:rFonts w:hint="eastAsia" w:ascii="仿宋_GB2312" w:eastAsia="仿宋_GB2312"/>
                <w:color w:val="auto"/>
                <w:szCs w:val="21"/>
              </w:rPr>
              <w:t>要求执行的保证金相关政策执行不到位或不执行的；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每发现一次扣5分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eastAsia="仿宋_GB2312"/>
                <w:b/>
                <w:bCs/>
                <w:color w:val="auto"/>
                <w:szCs w:val="21"/>
              </w:rPr>
              <w:t>4</w:t>
            </w:r>
            <w:r>
              <w:rPr>
                <w:rFonts w:hint="eastAsia" w:ascii="仿宋_GB2312" w:eastAsia="仿宋_GB2312"/>
                <w:b/>
                <w:bCs/>
                <w:color w:val="auto"/>
                <w:szCs w:val="21"/>
                <w:lang w:val="en-US" w:eastAsia="zh-CN"/>
              </w:rPr>
              <w:t>6</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rPr>
              <w:t>不按项目审批、核准所确定的交易范围、交易方式、交易组织形式进行交易的；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每发现一次扣5分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eastAsia="仿宋_GB2312"/>
                <w:b/>
                <w:bCs/>
                <w:color w:val="auto"/>
                <w:szCs w:val="21"/>
              </w:rPr>
              <w:t>4</w:t>
            </w:r>
            <w:r>
              <w:rPr>
                <w:rFonts w:hint="eastAsia" w:ascii="仿宋_GB2312" w:eastAsia="仿宋_GB2312"/>
                <w:b/>
                <w:bCs/>
                <w:color w:val="auto"/>
                <w:szCs w:val="21"/>
                <w:lang w:val="en-US" w:eastAsia="zh-CN"/>
              </w:rPr>
              <w:t>7</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rPr>
              <w:t>向资格审查委员会、评标委员会成员明示或者暗示其倾向或者排斥特定投标人的意向的；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每发现一次扣5分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eastAsia="仿宋_GB2312"/>
                <w:b/>
                <w:bCs/>
                <w:color w:val="auto"/>
                <w:szCs w:val="21"/>
              </w:rPr>
              <w:t>4</w:t>
            </w:r>
            <w:r>
              <w:rPr>
                <w:rFonts w:hint="eastAsia" w:ascii="仿宋_GB2312" w:eastAsia="仿宋_GB2312"/>
                <w:b/>
                <w:bCs/>
                <w:color w:val="auto"/>
                <w:szCs w:val="21"/>
                <w:lang w:val="en-US" w:eastAsia="zh-CN"/>
              </w:rPr>
              <w:t>8</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rPr>
              <w:t>无正当理由放弃代理服务业务或未经项目单位书面同意，擅自修改资格预审文件、交易文件或终止、中止交易或超标准收取代理服务费的；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每发现一次扣5分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default" w:ascii="仿宋_GB2312" w:hAnsi="宋体" w:eastAsia="仿宋_GB2312" w:cs="仿宋_GB2312"/>
                <w:color w:val="auto"/>
                <w:kern w:val="0"/>
                <w:szCs w:val="21"/>
                <w:lang w:val="en-US" w:eastAsia="zh-CN"/>
              </w:rPr>
            </w:pPr>
            <w:r>
              <w:rPr>
                <w:rFonts w:hint="eastAsia" w:ascii="仿宋_GB2312" w:hAnsi="宋体" w:eastAsia="仿宋_GB2312" w:cs="仿宋_GB2312"/>
                <w:b/>
                <w:bCs/>
                <w:color w:val="auto"/>
                <w:kern w:val="0"/>
                <w:szCs w:val="21"/>
                <w:lang w:val="en-US" w:eastAsia="zh-CN"/>
              </w:rPr>
              <w:t>49</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rPr>
              <w:t>发布的信息有误，被政府网站等管理部门纠错曝光或者造成其他不良影响；</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每发现一次扣5分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6"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eastAsia="仿宋_GB2312"/>
                <w:b/>
                <w:bCs/>
                <w:color w:val="auto"/>
                <w:szCs w:val="21"/>
                <w:lang w:val="en-US" w:eastAsia="zh-CN"/>
              </w:rPr>
              <w:t>50</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rPr>
              <w:t>在交易综合监管部门、行业主管部门开展的检查、考核中被发现存在违反规定情形的；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每发现一次扣5分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7"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eastAsia="仿宋_GB2312"/>
                <w:b/>
                <w:bCs/>
                <w:color w:val="auto"/>
                <w:szCs w:val="21"/>
              </w:rPr>
              <w:t>5</w:t>
            </w:r>
            <w:r>
              <w:rPr>
                <w:rFonts w:hint="eastAsia" w:ascii="仿宋_GB2312" w:eastAsia="仿宋_GB2312"/>
                <w:b/>
                <w:bCs/>
                <w:color w:val="auto"/>
                <w:szCs w:val="21"/>
                <w:lang w:val="en-US" w:eastAsia="zh-CN"/>
              </w:rPr>
              <w:t>1</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rPr>
              <w:t>明知项目业主单位委托事项违法未明确告知项目业主单位而继续进行代理的；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每发现一次扣5分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eastAsia" w:ascii="仿宋_GB2312" w:eastAsia="仿宋_GB2312"/>
                <w:b/>
                <w:bCs/>
                <w:color w:val="auto"/>
                <w:szCs w:val="21"/>
              </w:rPr>
            </w:pPr>
            <w:r>
              <w:rPr>
                <w:rFonts w:hint="eastAsia" w:ascii="仿宋_GB2312" w:eastAsia="仿宋_GB2312"/>
                <w:b/>
                <w:bCs/>
                <w:color w:val="auto"/>
                <w:szCs w:val="21"/>
              </w:rPr>
              <w:t>5</w:t>
            </w:r>
            <w:r>
              <w:rPr>
                <w:rFonts w:hint="eastAsia" w:ascii="仿宋_GB2312" w:eastAsia="仿宋_GB2312"/>
                <w:b/>
                <w:bCs/>
                <w:color w:val="auto"/>
                <w:szCs w:val="21"/>
                <w:lang w:val="en-US" w:eastAsia="zh-CN"/>
              </w:rPr>
              <w:t>2</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hint="eastAsia" w:ascii="仿宋_GB2312" w:eastAsia="仿宋_GB2312"/>
                <w:color w:val="auto"/>
                <w:szCs w:val="21"/>
              </w:rPr>
            </w:pPr>
            <w:r>
              <w:rPr>
                <w:rFonts w:hint="eastAsia" w:ascii="仿宋_GB2312" w:eastAsia="仿宋_GB2312"/>
                <w:color w:val="auto"/>
                <w:szCs w:val="21"/>
              </w:rPr>
              <w:t>拒绝接受或不配合交易综合监管部门、行业主管部门开展的调查、工作检查、考核，或在调查、工作检查、考核中隐瞒有关情况，或提供虚假材料的；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每发现一次扣5分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kern w:val="0"/>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eastAsia="仿宋_GB2312"/>
                <w:b/>
                <w:bCs/>
                <w:color w:val="auto"/>
                <w:szCs w:val="21"/>
                <w:lang w:val="en-US" w:eastAsia="zh-CN"/>
              </w:rPr>
              <w:t>53</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lang w:val="en-US" w:eastAsia="zh-CN"/>
              </w:rPr>
              <w:t>交易服务过程中因中介机构自身原因造成不良影响，影响严重的；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每发现一次扣5分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2"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eastAsia="仿宋_GB2312"/>
                <w:b/>
                <w:bCs/>
                <w:color w:val="auto"/>
                <w:szCs w:val="21"/>
              </w:rPr>
              <w:t>5</w:t>
            </w:r>
            <w:r>
              <w:rPr>
                <w:rFonts w:hint="eastAsia" w:ascii="仿宋_GB2312" w:eastAsia="仿宋_GB2312"/>
                <w:b/>
                <w:bCs/>
                <w:color w:val="auto"/>
                <w:szCs w:val="21"/>
                <w:lang w:val="en-US" w:eastAsia="zh-CN"/>
              </w:rPr>
              <w:t>4</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rPr>
              <w:t>与项目单位、投标人串通损害国家利益、社会公共利益或者他人合法权益；</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每发现一次扣10分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5"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eastAsia="仿宋_GB2312"/>
                <w:b/>
                <w:bCs/>
                <w:color w:val="auto"/>
                <w:szCs w:val="21"/>
              </w:rPr>
              <w:t>5</w:t>
            </w:r>
            <w:r>
              <w:rPr>
                <w:rFonts w:hint="eastAsia" w:ascii="仿宋_GB2312" w:eastAsia="仿宋_GB2312"/>
                <w:b/>
                <w:bCs/>
                <w:color w:val="auto"/>
                <w:szCs w:val="21"/>
                <w:lang w:val="en-US" w:eastAsia="zh-CN"/>
              </w:rPr>
              <w:t>5</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rPr>
              <w:t>在代理服务过程中泄露投标人、评标委员会应当保密的信息以及隐匿、销毁应当保存的文件资料或者伪造、变更文件资料的；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每发现一次扣10分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eastAsia="仿宋_GB2312"/>
                <w:b/>
                <w:bCs/>
                <w:color w:val="auto"/>
                <w:szCs w:val="21"/>
              </w:rPr>
              <w:t>5</w:t>
            </w:r>
            <w:r>
              <w:rPr>
                <w:rFonts w:hint="eastAsia" w:ascii="仿宋_GB2312" w:eastAsia="仿宋_GB2312"/>
                <w:b/>
                <w:bCs/>
                <w:color w:val="auto"/>
                <w:szCs w:val="21"/>
                <w:lang w:val="en-US" w:eastAsia="zh-CN"/>
              </w:rPr>
              <w:t>6</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rPr>
              <w:t xml:space="preserve">明示或者暗示投标人压低或者提高投标报价，明示或者暗示投标人为特定投标人中标提供方便的；  </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每发现一次扣10分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6"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eastAsia="仿宋_GB2312"/>
                <w:b/>
                <w:bCs/>
                <w:color w:val="auto"/>
                <w:szCs w:val="21"/>
              </w:rPr>
              <w:t>5</w:t>
            </w:r>
            <w:r>
              <w:rPr>
                <w:rFonts w:hint="eastAsia" w:ascii="仿宋_GB2312" w:eastAsia="仿宋_GB2312"/>
                <w:b/>
                <w:bCs/>
                <w:color w:val="auto"/>
                <w:szCs w:val="21"/>
                <w:lang w:val="en-US" w:eastAsia="zh-CN"/>
              </w:rPr>
              <w:t>7</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rPr>
              <w:t>与项目单位为谋求特定投标人中标而采取的其他串通行为；</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每发现一次扣10分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0"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default" w:ascii="仿宋_GB2312" w:hAnsi="宋体" w:eastAsia="仿宋_GB2312" w:cs="仿宋_GB2312"/>
                <w:color w:val="auto"/>
                <w:kern w:val="0"/>
                <w:szCs w:val="21"/>
                <w:lang w:val="en-US" w:eastAsia="zh-CN"/>
              </w:rPr>
            </w:pPr>
            <w:r>
              <w:rPr>
                <w:rFonts w:hint="eastAsia" w:ascii="仿宋_GB2312" w:hAnsi="宋体" w:eastAsia="仿宋_GB2312" w:cs="仿宋_GB2312"/>
                <w:b/>
                <w:bCs/>
                <w:color w:val="auto"/>
                <w:kern w:val="0"/>
                <w:szCs w:val="21"/>
                <w:lang w:val="en-US" w:eastAsia="zh-CN"/>
              </w:rPr>
              <w:t>58</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rPr>
              <w:t>已选定中标人或者已签合同或工程已进场施工，后补办交易过程及手续；</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每发现一次扣10分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3"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default" w:ascii="仿宋_GB2312" w:hAnsi="宋体" w:eastAsia="仿宋_GB2312" w:cs="仿宋_GB2312"/>
                <w:color w:val="auto"/>
                <w:kern w:val="0"/>
                <w:szCs w:val="21"/>
                <w:lang w:val="en-US"/>
              </w:rPr>
            </w:pPr>
            <w:r>
              <w:rPr>
                <w:rFonts w:hint="eastAsia" w:ascii="仿宋_GB2312" w:eastAsia="仿宋_GB2312"/>
                <w:b/>
                <w:bCs/>
                <w:color w:val="auto"/>
                <w:szCs w:val="21"/>
                <w:lang w:val="en-US" w:eastAsia="zh-CN"/>
              </w:rPr>
              <w:t>59</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rPr>
              <w:t>采取行贿、提供回扣或者给予其他不正当利益以及采用弄虚作假、诋毁他人等不正当手段承接公共资源交易代理业务；</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每发现一次扣10分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eastAsia="仿宋_GB2312"/>
                <w:b/>
                <w:bCs/>
                <w:color w:val="auto"/>
                <w:szCs w:val="21"/>
                <w:lang w:val="en-US" w:eastAsia="zh-CN"/>
              </w:rPr>
              <w:t>60</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rPr>
              <w:t>有被监管部门或者相关行业主管部门查处的违反法律行政法规行为的；</w:t>
            </w:r>
            <w:r>
              <w:rPr>
                <w:rFonts w:hint="eastAsia" w:ascii="仿宋_GB2312" w:eastAsia="仿宋_GB2312"/>
                <w:color w:val="auto"/>
                <w:szCs w:val="21"/>
                <w:lang w:eastAsia="zh-CN"/>
              </w:rPr>
              <w:t>或者</w:t>
            </w:r>
            <w:r>
              <w:rPr>
                <w:rFonts w:hint="eastAsia" w:ascii="仿宋_GB2312" w:eastAsia="仿宋_GB2312"/>
                <w:color w:val="auto"/>
                <w:szCs w:val="21"/>
              </w:rPr>
              <w:t>代理服务过程，发现</w:t>
            </w:r>
            <w:r>
              <w:rPr>
                <w:rFonts w:hint="eastAsia" w:ascii="仿宋_GB2312" w:eastAsia="仿宋_GB2312"/>
                <w:color w:val="auto"/>
                <w:szCs w:val="21"/>
                <w:lang w:eastAsia="zh-CN"/>
              </w:rPr>
              <w:t>有</w:t>
            </w:r>
            <w:r>
              <w:rPr>
                <w:rFonts w:hint="eastAsia" w:ascii="仿宋_GB2312" w:eastAsia="仿宋_GB2312"/>
                <w:color w:val="auto"/>
                <w:szCs w:val="21"/>
              </w:rPr>
              <w:t>其他违法行为的；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每发现一次扣10分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3"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eastAsia="仿宋_GB2312"/>
                <w:b/>
                <w:bCs/>
                <w:color w:val="auto"/>
                <w:szCs w:val="21"/>
              </w:rPr>
            </w:pPr>
            <w:r>
              <w:rPr>
                <w:rFonts w:hint="eastAsia" w:ascii="仿宋_GB2312" w:eastAsia="仿宋_GB2312"/>
                <w:b/>
                <w:bCs/>
                <w:color w:val="auto"/>
                <w:szCs w:val="21"/>
              </w:rPr>
              <w:t>6</w:t>
            </w:r>
            <w:r>
              <w:rPr>
                <w:rFonts w:hint="eastAsia" w:ascii="仿宋_GB2312" w:eastAsia="仿宋_GB2312"/>
                <w:b/>
                <w:bCs/>
                <w:color w:val="auto"/>
                <w:szCs w:val="21"/>
                <w:lang w:val="en-US" w:eastAsia="zh-CN"/>
              </w:rPr>
              <w:t>1</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eastAsia="仿宋_GB2312"/>
                <w:color w:val="auto"/>
                <w:szCs w:val="21"/>
              </w:rPr>
            </w:pPr>
            <w:r>
              <w:rPr>
                <w:rFonts w:hint="eastAsia" w:ascii="仿宋_GB2312" w:eastAsia="仿宋_GB2312"/>
                <w:color w:val="auto"/>
                <w:szCs w:val="21"/>
              </w:rPr>
              <w:t>发生项目档案资料丢失、泄密等情况的；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每发现一次扣10分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default" w:ascii="仿宋_GB2312" w:eastAsia="仿宋_GB2312"/>
                <w:b/>
                <w:bCs/>
                <w:color w:val="auto"/>
                <w:szCs w:val="21"/>
                <w:lang w:val="en-US" w:eastAsia="zh-CN"/>
              </w:rPr>
            </w:pPr>
            <w:r>
              <w:rPr>
                <w:rFonts w:hint="eastAsia" w:ascii="仿宋_GB2312" w:eastAsia="仿宋_GB2312"/>
                <w:b/>
                <w:bCs/>
                <w:color w:val="auto"/>
                <w:szCs w:val="21"/>
                <w:lang w:val="en-US" w:eastAsia="zh-CN"/>
              </w:rPr>
              <w:t>62</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hint="eastAsia" w:ascii="仿宋_GB2312" w:eastAsia="仿宋_GB2312"/>
                <w:color w:val="auto"/>
                <w:szCs w:val="21"/>
              </w:rPr>
            </w:pPr>
            <w:r>
              <w:rPr>
                <w:rFonts w:hint="eastAsia" w:ascii="仿宋_GB2312" w:eastAsia="仿宋_GB2312"/>
                <w:color w:val="auto"/>
                <w:szCs w:val="21"/>
              </w:rPr>
              <w:t>与所提供代理服务项目的潜在投标人有隶属关系、合作经营关系以及其他直接利益关系的；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每发现一次扣10分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kern w:val="0"/>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default" w:ascii="仿宋_GB2312" w:hAnsi="宋体" w:eastAsia="仿宋_GB2312" w:cs="仿宋_GB2312"/>
                <w:color w:val="auto"/>
                <w:kern w:val="0"/>
                <w:sz w:val="21"/>
                <w:szCs w:val="21"/>
                <w:lang w:val="en-US" w:eastAsia="zh-CN" w:bidi="ar-SA"/>
              </w:rPr>
            </w:pPr>
            <w:r>
              <w:rPr>
                <w:rFonts w:hint="eastAsia" w:ascii="仿宋_GB2312" w:eastAsia="仿宋_GB2312"/>
                <w:b/>
                <w:bCs/>
                <w:color w:val="auto"/>
                <w:szCs w:val="21"/>
                <w:lang w:val="en-US" w:eastAsia="zh-CN"/>
              </w:rPr>
              <w:t>63</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hint="eastAsia" w:ascii="仿宋_GB2312" w:hAnsi="宋体" w:eastAsia="仿宋_GB2312" w:cs="仿宋_GB2312"/>
                <w:color w:val="auto"/>
                <w:kern w:val="0"/>
                <w:sz w:val="21"/>
                <w:szCs w:val="21"/>
                <w:lang w:val="en-US" w:eastAsia="zh-CN" w:bidi="ar-SA"/>
              </w:rPr>
            </w:pPr>
            <w:r>
              <w:rPr>
                <w:rFonts w:hint="eastAsia" w:ascii="仿宋_GB2312" w:eastAsia="仿宋_GB2312"/>
                <w:color w:val="auto"/>
                <w:szCs w:val="21"/>
                <w:lang w:val="en-US" w:eastAsia="zh-CN"/>
              </w:rPr>
              <w:t>未及时在交易系统中录入数据的或录入数据有误、不完整、录入重复数据等，影响省对市数据考核的；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kern w:val="0"/>
                <w:sz w:val="21"/>
                <w:szCs w:val="21"/>
                <w:lang w:val="en-US" w:eastAsia="zh-CN" w:bidi="ar-SA"/>
              </w:rPr>
            </w:pPr>
            <w:r>
              <w:rPr>
                <w:rFonts w:hint="eastAsia" w:ascii="仿宋_GB2312" w:hAnsi="宋体" w:eastAsia="仿宋_GB2312" w:cs="仿宋_GB2312"/>
                <w:color w:val="auto"/>
                <w:kern w:val="0"/>
                <w:szCs w:val="21"/>
              </w:rPr>
              <w:t>每发现一次扣1</w:t>
            </w:r>
            <w:r>
              <w:rPr>
                <w:rFonts w:hint="eastAsia" w:ascii="仿宋_GB2312" w:hAnsi="宋体" w:eastAsia="仿宋_GB2312" w:cs="仿宋_GB2312"/>
                <w:color w:val="auto"/>
                <w:kern w:val="0"/>
                <w:szCs w:val="21"/>
                <w:lang w:val="en-US" w:eastAsia="zh-CN"/>
              </w:rPr>
              <w:t>5</w:t>
            </w:r>
            <w:r>
              <w:rPr>
                <w:rFonts w:hint="eastAsia" w:ascii="仿宋_GB2312" w:hAnsi="宋体" w:eastAsia="仿宋_GB2312" w:cs="仿宋_GB2312"/>
                <w:color w:val="auto"/>
                <w:kern w:val="0"/>
                <w:szCs w:val="21"/>
              </w:rPr>
              <w:t>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kern w:val="0"/>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652"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default" w:ascii="仿宋_GB2312" w:hAnsi="宋体" w:eastAsia="仿宋_GB2312" w:cs="仿宋_GB2312"/>
                <w:color w:val="auto"/>
                <w:kern w:val="0"/>
                <w:szCs w:val="21"/>
                <w:lang w:val="en-US" w:eastAsia="zh-CN"/>
              </w:rPr>
            </w:pPr>
            <w:r>
              <w:rPr>
                <w:rFonts w:hint="eastAsia" w:ascii="仿宋_GB2312" w:eastAsia="仿宋_GB2312"/>
                <w:b/>
                <w:bCs/>
                <w:color w:val="auto"/>
                <w:szCs w:val="21"/>
                <w:lang w:val="en-US" w:eastAsia="zh-CN"/>
              </w:rPr>
              <w:t>64</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eastAsia="仿宋_GB2312"/>
                <w:color w:val="auto"/>
                <w:szCs w:val="21"/>
              </w:rPr>
              <w:t>发现存在本管理办法中第</w:t>
            </w:r>
            <w:r>
              <w:rPr>
                <w:rFonts w:hint="eastAsia" w:ascii="仿宋_GB2312" w:eastAsia="仿宋_GB2312"/>
                <w:color w:val="auto"/>
                <w:szCs w:val="21"/>
                <w:lang w:eastAsia="zh-CN"/>
              </w:rPr>
              <w:t>九</w:t>
            </w:r>
            <w:r>
              <w:rPr>
                <w:rFonts w:hint="eastAsia" w:ascii="仿宋_GB2312" w:eastAsia="仿宋_GB2312"/>
                <w:color w:val="auto"/>
                <w:szCs w:val="21"/>
              </w:rPr>
              <w:t>条情形的。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每发现一次扣30分</w:t>
            </w:r>
          </w:p>
        </w:tc>
        <w:tc>
          <w:tcPr>
            <w:tcW w:w="147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评价周期内累计扣分</w:t>
            </w: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atLeast"/>
        </w:trPr>
        <w:tc>
          <w:tcPr>
            <w:tcW w:w="1135"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b/>
                <w:color w:val="auto"/>
                <w:kern w:val="0"/>
                <w:sz w:val="20"/>
                <w:szCs w:val="20"/>
              </w:rPr>
            </w:pPr>
            <w:r>
              <w:rPr>
                <w:rFonts w:hint="eastAsia" w:ascii="宋体" w:hAnsi="宋体"/>
                <w:b/>
                <w:color w:val="auto"/>
                <w:kern w:val="0"/>
                <w:sz w:val="20"/>
                <w:szCs w:val="20"/>
              </w:rPr>
              <w:t>执业能力</w:t>
            </w:r>
          </w:p>
          <w:p>
            <w:pPr>
              <w:jc w:val="center"/>
              <w:textAlignment w:val="center"/>
              <w:rPr>
                <w:rFonts w:ascii="宋体" w:hAnsi="宋体"/>
                <w:b/>
                <w:color w:val="auto"/>
                <w:kern w:val="0"/>
                <w:sz w:val="20"/>
                <w:szCs w:val="20"/>
              </w:rPr>
            </w:pPr>
            <w:r>
              <w:rPr>
                <w:rFonts w:hint="eastAsia" w:ascii="宋体" w:hAnsi="宋体"/>
                <w:b/>
                <w:color w:val="auto"/>
                <w:kern w:val="0"/>
                <w:sz w:val="20"/>
                <w:szCs w:val="20"/>
              </w:rPr>
              <w:t>（40分）</w:t>
            </w: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auto"/>
                <w:kern w:val="0"/>
                <w:sz w:val="20"/>
                <w:szCs w:val="20"/>
              </w:rPr>
            </w:pPr>
            <w:r>
              <w:rPr>
                <w:rFonts w:hint="eastAsia" w:ascii="宋体" w:hAnsi="宋体"/>
                <w:color w:val="auto"/>
                <w:kern w:val="0"/>
                <w:sz w:val="20"/>
                <w:szCs w:val="20"/>
              </w:rPr>
              <w:t>10分</w:t>
            </w:r>
          </w:p>
        </w:tc>
        <w:tc>
          <w:tcPr>
            <w:tcW w:w="1219" w:type="dxa"/>
            <w:gridSpan w:val="2"/>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auto"/>
                <w:kern w:val="0"/>
                <w:sz w:val="20"/>
                <w:szCs w:val="20"/>
              </w:rPr>
            </w:pPr>
            <w:r>
              <w:rPr>
                <w:rFonts w:hint="eastAsia" w:ascii="仿宋_GB2312" w:hAnsi="宋体" w:eastAsia="仿宋_GB2312" w:cs="仿宋_GB2312"/>
                <w:b/>
                <w:color w:val="auto"/>
                <w:kern w:val="0"/>
                <w:sz w:val="20"/>
                <w:szCs w:val="20"/>
              </w:rPr>
              <w:t>业务技能</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参加滁州市公共资源交易主管部门组织的培训及操作系统测评的；</w:t>
            </w:r>
          </w:p>
        </w:tc>
        <w:tc>
          <w:tcPr>
            <w:tcW w:w="3231" w:type="dxa"/>
            <w:gridSpan w:val="2"/>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考核测试实施合格制，按照合格人数给予加分。</w:t>
            </w:r>
          </w:p>
          <w:p>
            <w:pPr>
              <w:widowControl/>
              <w:jc w:val="left"/>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合格1人，得1分；</w:t>
            </w:r>
          </w:p>
          <w:p>
            <w:pPr>
              <w:widowControl/>
              <w:jc w:val="left"/>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合格2人，得2分；</w:t>
            </w:r>
          </w:p>
          <w:p>
            <w:pPr>
              <w:widowControl/>
              <w:jc w:val="left"/>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合格3人，得3分；</w:t>
            </w:r>
          </w:p>
          <w:p>
            <w:pPr>
              <w:widowControl/>
              <w:jc w:val="left"/>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合格4人，得4分；</w:t>
            </w:r>
          </w:p>
          <w:p>
            <w:pPr>
              <w:widowControl/>
              <w:jc w:val="left"/>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合格5人，得5分；</w:t>
            </w:r>
          </w:p>
          <w:p>
            <w:pPr>
              <w:widowControl/>
              <w:jc w:val="left"/>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合格5-10人，得6分；</w:t>
            </w:r>
          </w:p>
          <w:p>
            <w:pPr>
              <w:widowControl/>
              <w:jc w:val="left"/>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合格10（含）-20人，得7分；</w:t>
            </w:r>
          </w:p>
          <w:p>
            <w:pPr>
              <w:widowControl/>
              <w:jc w:val="left"/>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合格20（含）-50人，得8分；</w:t>
            </w:r>
          </w:p>
          <w:p>
            <w:pPr>
              <w:widowControl/>
              <w:jc w:val="left"/>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合格50（含）-100人，得9分；</w:t>
            </w:r>
          </w:p>
          <w:p>
            <w:pPr>
              <w:widowControl/>
              <w:jc w:val="left"/>
              <w:textAlignment w:val="center"/>
              <w:rPr>
                <w:color w:val="auto"/>
              </w:rPr>
            </w:pPr>
            <w:r>
              <w:rPr>
                <w:rFonts w:hint="eastAsia" w:ascii="仿宋_GB2312" w:hAnsi="宋体" w:eastAsia="仿宋_GB2312" w:cs="仿宋_GB2312"/>
                <w:color w:val="auto"/>
                <w:kern w:val="0"/>
                <w:szCs w:val="21"/>
              </w:rPr>
              <w:t>合格100人及以上，得10分</w:t>
            </w:r>
            <w:r>
              <w:rPr>
                <w:rFonts w:hint="eastAsia" w:ascii="仿宋_GB2312" w:hAnsi="宋体" w:eastAsia="仿宋_GB2312" w:cs="仿宋_GB2312"/>
                <w:color w:val="auto"/>
                <w:kern w:val="0"/>
                <w:szCs w:val="21"/>
                <w:lang w:eastAsia="zh-CN"/>
              </w:rPr>
              <w:t>。</w:t>
            </w:r>
          </w:p>
        </w:tc>
        <w:tc>
          <w:tcPr>
            <w:tcW w:w="141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 w:val="20"/>
                <w:szCs w:val="20"/>
              </w:rPr>
            </w:pPr>
            <w:r>
              <w:rPr>
                <w:rFonts w:hint="eastAsia" w:ascii="仿宋_GB2312" w:hAnsi="宋体" w:eastAsia="仿宋_GB2312" w:cs="仿宋_GB2312"/>
                <w:color w:val="auto"/>
                <w:kern w:val="0"/>
                <w:sz w:val="20"/>
                <w:szCs w:val="20"/>
              </w:rPr>
              <w:t>企业通过电子系统自行申报，市交易中心负责审核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textAlignment w:val="center"/>
              <w:rPr>
                <w:rFonts w:ascii="宋体" w:hAnsi="宋体"/>
                <w:b/>
                <w:color w:val="auto"/>
                <w:kern w:val="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eastAsia" w:ascii="宋体" w:hAnsi="宋体" w:eastAsiaTheme="minorEastAsia"/>
                <w:color w:val="auto"/>
                <w:kern w:val="0"/>
                <w:sz w:val="20"/>
                <w:szCs w:val="20"/>
                <w:lang w:val="en-US" w:eastAsia="zh-CN"/>
              </w:rPr>
            </w:pPr>
            <w:r>
              <w:rPr>
                <w:rFonts w:hint="eastAsia" w:ascii="宋体" w:hAnsi="宋体"/>
                <w:color w:val="auto"/>
                <w:kern w:val="0"/>
                <w:sz w:val="20"/>
                <w:szCs w:val="20"/>
                <w:lang w:val="en-US" w:eastAsia="zh-CN"/>
              </w:rPr>
              <w:t>5分</w:t>
            </w:r>
          </w:p>
        </w:tc>
        <w:tc>
          <w:tcPr>
            <w:tcW w:w="1219" w:type="dxa"/>
            <w:gridSpan w:val="2"/>
            <w:tcBorders>
              <w:tl2br w:val="nil"/>
              <w:tr2bl w:val="nil"/>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仿宋_GB2312"/>
                <w:b/>
                <w:color w:val="auto"/>
                <w:kern w:val="0"/>
                <w:sz w:val="20"/>
                <w:szCs w:val="20"/>
                <w:lang w:eastAsia="zh-CN"/>
              </w:rPr>
            </w:pPr>
            <w:r>
              <w:rPr>
                <w:rFonts w:hint="eastAsia" w:ascii="仿宋_GB2312" w:hAnsi="宋体" w:eastAsia="仿宋_GB2312" w:cs="仿宋_GB2312"/>
                <w:b/>
                <w:color w:val="auto"/>
                <w:kern w:val="0"/>
                <w:sz w:val="20"/>
                <w:szCs w:val="20"/>
                <w:lang w:eastAsia="zh-CN"/>
              </w:rPr>
              <w:t>项目流转</w:t>
            </w:r>
          </w:p>
          <w:p>
            <w:pPr>
              <w:widowControl/>
              <w:jc w:val="center"/>
              <w:textAlignment w:val="center"/>
              <w:rPr>
                <w:rFonts w:hint="eastAsia" w:ascii="仿宋_GB2312" w:hAnsi="宋体" w:eastAsia="仿宋_GB2312" w:cs="仿宋_GB2312"/>
                <w:b/>
                <w:color w:val="auto"/>
                <w:kern w:val="0"/>
                <w:sz w:val="20"/>
                <w:szCs w:val="20"/>
                <w:lang w:eastAsia="zh-CN"/>
              </w:rPr>
            </w:pPr>
            <w:r>
              <w:rPr>
                <w:rFonts w:hint="eastAsia" w:ascii="仿宋_GB2312" w:hAnsi="宋体" w:eastAsia="仿宋_GB2312" w:cs="仿宋_GB2312"/>
                <w:b/>
                <w:color w:val="auto"/>
                <w:kern w:val="0"/>
                <w:sz w:val="20"/>
                <w:szCs w:val="20"/>
                <w:lang w:eastAsia="zh-CN"/>
              </w:rPr>
              <w:t>周期</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hint="eastAsia" w:ascii="仿宋_GB2312" w:hAnsi="宋体" w:eastAsia="仿宋_GB2312" w:cs="仿宋_GB2312"/>
                <w:color w:val="auto"/>
                <w:kern w:val="0"/>
                <w:szCs w:val="21"/>
                <w:lang w:eastAsia="zh-CN"/>
              </w:rPr>
            </w:pPr>
            <w:r>
              <w:rPr>
                <w:rFonts w:hint="eastAsia" w:ascii="仿宋_GB2312" w:hAnsi="宋体" w:eastAsia="仿宋_GB2312" w:cs="仿宋_GB2312"/>
                <w:color w:val="auto"/>
                <w:kern w:val="0"/>
                <w:szCs w:val="21"/>
                <w:lang w:eastAsia="zh-CN"/>
              </w:rPr>
              <w:t>根据代理服务的工程建设项目、政府采购项目平均场内流转周期进行统计</w:t>
            </w:r>
          </w:p>
          <w:p>
            <w:pPr>
              <w:pStyle w:val="2"/>
              <w:jc w:val="center"/>
              <w:rPr>
                <w:rFonts w:hint="eastAsia" w:ascii="仿宋_GB2312" w:hAnsi="宋体" w:eastAsia="仿宋_GB2312" w:cs="仿宋_GB2312"/>
                <w:color w:val="auto"/>
                <w:kern w:val="0"/>
                <w:szCs w:val="21"/>
              </w:rPr>
            </w:pPr>
          </w:p>
        </w:tc>
        <w:tc>
          <w:tcPr>
            <w:tcW w:w="3231" w:type="dxa"/>
            <w:gridSpan w:val="2"/>
            <w:tcBorders>
              <w:tl2br w:val="nil"/>
              <w:tr2bl w:val="nil"/>
            </w:tcBorders>
            <w:shd w:val="clear" w:color="auto" w:fill="FFFFFF"/>
            <w:tcMar>
              <w:top w:w="15" w:type="dxa"/>
              <w:left w:w="15" w:type="dxa"/>
              <w:right w:w="15" w:type="dxa"/>
            </w:tcMar>
            <w:vAlign w:val="center"/>
          </w:tcPr>
          <w:p>
            <w:pPr>
              <w:widowControl/>
              <w:jc w:val="left"/>
              <w:textAlignment w:val="center"/>
              <w:rPr>
                <w:rFonts w:hint="eastAsia" w:ascii="仿宋_GB2312" w:hAnsi="宋体" w:eastAsia="仿宋_GB2312" w:cs="仿宋_GB2312"/>
                <w:color w:val="auto"/>
                <w:kern w:val="0"/>
                <w:szCs w:val="21"/>
                <w:lang w:val="en-US" w:eastAsia="zh-CN"/>
              </w:rPr>
            </w:pPr>
            <w:r>
              <w:rPr>
                <w:rFonts w:hint="eastAsia" w:ascii="仿宋_GB2312" w:hAnsi="宋体" w:eastAsia="仿宋_GB2312" w:cs="仿宋_GB2312"/>
                <w:color w:val="auto"/>
                <w:kern w:val="0"/>
                <w:szCs w:val="21"/>
                <w:lang w:val="en-US" w:eastAsia="zh-CN"/>
              </w:rPr>
              <w:t>流转周期得分=(工程建设项目平均得分+政府采购项目平均得分）/2。                                    说明：平均场内流转周期统计日期自招标公告发布时间到中标通知书发放时间，流转周期基准值：工程建设项目24天，政府采购项目20天。</w:t>
            </w:r>
          </w:p>
          <w:p>
            <w:pPr>
              <w:widowControl/>
              <w:jc w:val="left"/>
              <w:textAlignment w:val="center"/>
              <w:rPr>
                <w:rFonts w:hint="default" w:ascii="Calibri" w:hAnsi="Calibri" w:eastAsia="仿宋_GB2312" w:cs="Calibri"/>
                <w:color w:val="auto"/>
                <w:kern w:val="0"/>
                <w:szCs w:val="21"/>
                <w:lang w:val="en-US" w:eastAsia="zh-CN"/>
              </w:rPr>
            </w:pPr>
            <w:r>
              <w:rPr>
                <w:rFonts w:hint="default" w:ascii="Calibri" w:hAnsi="Calibri" w:eastAsia="仿宋_GB2312" w:cs="Calibri"/>
                <w:color w:val="auto"/>
                <w:kern w:val="0"/>
                <w:szCs w:val="21"/>
                <w:lang w:val="en-US" w:eastAsia="zh-CN"/>
              </w:rPr>
              <w:t>①工程建设项目。评分规则：（24天，25天），5分；[25天，26天)，4分；[26天，27天)，3分；[27天，28天)，2分；[28天，29天)，1分；29天（含）以上，0分。②政府采购项目。评分规则：（20天，21天），5分；[21天，22天)，4分；[22天，23天)，3分；[23天，24天)，2分；[24天，25天)，1分；25天（含）以上，0分。</w:t>
            </w:r>
          </w:p>
          <w:p>
            <w:pPr>
              <w:widowControl/>
              <w:jc w:val="left"/>
              <w:textAlignment w:val="center"/>
              <w:rPr>
                <w:rFonts w:hint="eastAsia" w:ascii="仿宋_GB2312" w:hAnsi="宋体" w:eastAsia="仿宋_GB2312" w:cs="仿宋_GB2312"/>
                <w:color w:val="auto"/>
                <w:kern w:val="0"/>
                <w:szCs w:val="21"/>
                <w:lang w:val="en-US" w:eastAsia="zh-CN"/>
              </w:rPr>
            </w:pPr>
            <w:r>
              <w:rPr>
                <w:rFonts w:hint="eastAsia" w:ascii="仿宋_GB2312" w:hAnsi="宋体" w:eastAsia="仿宋_GB2312" w:cs="仿宋_GB2312"/>
                <w:color w:val="auto"/>
                <w:kern w:val="0"/>
                <w:szCs w:val="21"/>
                <w:lang w:val="en-US" w:eastAsia="zh-CN"/>
              </w:rPr>
              <w:t xml:space="preserve">统计范围：采用招标方式的项目。只代理其中一类项目，流转周期得分为该类项目的平均得分。                                                                             </w:t>
            </w:r>
          </w:p>
        </w:tc>
        <w:tc>
          <w:tcPr>
            <w:tcW w:w="1412"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kern w:val="0"/>
                <w:sz w:val="20"/>
                <w:szCs w:val="20"/>
              </w:rPr>
            </w:pPr>
            <w:r>
              <w:rPr>
                <w:rFonts w:hint="eastAsia" w:ascii="仿宋_GB2312" w:hAnsi="宋体" w:eastAsia="仿宋_GB2312" w:cs="仿宋_GB2312"/>
                <w:color w:val="auto"/>
                <w:kern w:val="0"/>
                <w:sz w:val="20"/>
                <w:szCs w:val="20"/>
              </w:rPr>
              <w:t>系统自动统计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textAlignment w:val="center"/>
              <w:rPr>
                <w:rFonts w:ascii="宋体" w:hAnsi="宋体"/>
                <w:b/>
                <w:color w:val="auto"/>
                <w:kern w:val="0"/>
                <w:sz w:val="20"/>
                <w:szCs w:val="20"/>
              </w:rPr>
            </w:pPr>
          </w:p>
        </w:tc>
        <w:tc>
          <w:tcPr>
            <w:tcW w:w="56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auto"/>
                <w:kern w:val="0"/>
                <w:sz w:val="20"/>
                <w:szCs w:val="20"/>
              </w:rPr>
            </w:pPr>
            <w:r>
              <w:rPr>
                <w:rFonts w:hint="eastAsia" w:ascii="宋体" w:hAnsi="宋体"/>
                <w:color w:val="auto"/>
                <w:kern w:val="0"/>
                <w:sz w:val="20"/>
                <w:szCs w:val="20"/>
                <w:lang w:val="en-US" w:eastAsia="zh-CN"/>
              </w:rPr>
              <w:t>10</w:t>
            </w:r>
            <w:r>
              <w:rPr>
                <w:rFonts w:hint="eastAsia" w:ascii="宋体" w:hAnsi="宋体"/>
                <w:color w:val="auto"/>
                <w:kern w:val="0"/>
                <w:sz w:val="20"/>
                <w:szCs w:val="20"/>
              </w:rPr>
              <w:t>分</w:t>
            </w:r>
          </w:p>
        </w:tc>
        <w:tc>
          <w:tcPr>
            <w:tcW w:w="1219" w:type="dxa"/>
            <w:gridSpan w:val="2"/>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auto"/>
                <w:kern w:val="0"/>
                <w:sz w:val="20"/>
                <w:szCs w:val="20"/>
              </w:rPr>
            </w:pPr>
            <w:r>
              <w:rPr>
                <w:rFonts w:hint="eastAsia" w:ascii="仿宋_GB2312" w:hAnsi="宋体" w:eastAsia="仿宋_GB2312" w:cs="仿宋_GB2312"/>
                <w:b/>
                <w:color w:val="auto"/>
                <w:kern w:val="0"/>
                <w:sz w:val="20"/>
                <w:szCs w:val="20"/>
              </w:rPr>
              <w:t>业务办结率</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根据代理机构系统中提交的项目注册、公告发布等业务事项的一次性办结率进行统计</w:t>
            </w:r>
          </w:p>
        </w:tc>
        <w:tc>
          <w:tcPr>
            <w:tcW w:w="3231" w:type="dxa"/>
            <w:gridSpan w:val="2"/>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 w:val="20"/>
                <w:szCs w:val="20"/>
              </w:rPr>
            </w:pPr>
            <w:r>
              <w:rPr>
                <w:rFonts w:hint="eastAsia" w:ascii="仿宋_GB2312" w:hAnsi="宋体" w:eastAsia="仿宋_GB2312" w:cs="仿宋_GB2312"/>
                <w:color w:val="auto"/>
                <w:kern w:val="0"/>
                <w:szCs w:val="21"/>
              </w:rPr>
              <w:t>X=A1/A2*</w:t>
            </w:r>
            <w:r>
              <w:rPr>
                <w:rFonts w:hint="eastAsia" w:ascii="仿宋_GB2312" w:hAnsi="宋体" w:eastAsia="仿宋_GB2312" w:cs="仿宋_GB2312"/>
                <w:color w:val="auto"/>
                <w:kern w:val="0"/>
                <w:szCs w:val="21"/>
                <w:lang w:val="en-US" w:eastAsia="zh-CN"/>
              </w:rPr>
              <w:t>10</w:t>
            </w:r>
            <w:r>
              <w:rPr>
                <w:rFonts w:hint="eastAsia" w:ascii="仿宋_GB2312" w:hAnsi="宋体" w:eastAsia="仿宋_GB2312" w:cs="仿宋_GB2312"/>
                <w:color w:val="auto"/>
                <w:kern w:val="0"/>
                <w:szCs w:val="21"/>
              </w:rPr>
              <w:t>；X：指评价周期内业务办结率得分；A1：指评价周期内所服务项目相关业务成功办结次数；A2：指评价周期内所服务项目相关业务总办理次数。说明：在评价周期内业务一次性办结率根据公式计分，以系统统计为准，保留1位小数，最高得分</w:t>
            </w:r>
            <w:r>
              <w:rPr>
                <w:rFonts w:hint="eastAsia" w:ascii="仿宋_GB2312" w:hAnsi="宋体" w:eastAsia="仿宋_GB2312" w:cs="仿宋_GB2312"/>
                <w:color w:val="auto"/>
                <w:kern w:val="0"/>
                <w:szCs w:val="21"/>
                <w:lang w:val="en-US" w:eastAsia="zh-CN"/>
              </w:rPr>
              <w:t>10</w:t>
            </w:r>
            <w:r>
              <w:rPr>
                <w:rFonts w:hint="eastAsia" w:ascii="仿宋_GB2312" w:hAnsi="宋体" w:eastAsia="仿宋_GB2312" w:cs="仿宋_GB2312"/>
                <w:color w:val="auto"/>
                <w:kern w:val="0"/>
                <w:szCs w:val="21"/>
              </w:rPr>
              <w:t>分。</w:t>
            </w:r>
          </w:p>
        </w:tc>
        <w:tc>
          <w:tcPr>
            <w:tcW w:w="141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 w:val="20"/>
                <w:szCs w:val="20"/>
              </w:rPr>
            </w:pPr>
            <w:r>
              <w:rPr>
                <w:rFonts w:hint="eastAsia" w:ascii="仿宋_GB2312" w:hAnsi="宋体" w:eastAsia="仿宋_GB2312" w:cs="仿宋_GB2312"/>
                <w:color w:val="auto"/>
                <w:kern w:val="0"/>
                <w:sz w:val="20"/>
                <w:szCs w:val="20"/>
              </w:rPr>
              <w:t>系统自动统计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1135" w:type="dxa"/>
            <w:vMerge w:val="continue"/>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b/>
                <w:color w:val="auto"/>
                <w:sz w:val="20"/>
                <w:szCs w:val="20"/>
              </w:rPr>
            </w:pP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auto"/>
                <w:sz w:val="20"/>
                <w:szCs w:val="20"/>
              </w:rPr>
            </w:pPr>
            <w:r>
              <w:rPr>
                <w:rFonts w:hint="eastAsia" w:ascii="仿宋_GB2312" w:hAnsi="宋体" w:eastAsia="仿宋_GB2312" w:cs="仿宋_GB2312"/>
                <w:color w:val="auto"/>
                <w:kern w:val="0"/>
                <w:szCs w:val="21"/>
                <w:lang w:val="en-US" w:eastAsia="zh-CN"/>
              </w:rPr>
              <w:t>5</w:t>
            </w:r>
            <w:r>
              <w:rPr>
                <w:rFonts w:hint="eastAsia" w:ascii="宋体" w:hAnsi="宋体"/>
                <w:color w:val="auto"/>
                <w:kern w:val="0"/>
                <w:sz w:val="20"/>
                <w:szCs w:val="20"/>
              </w:rPr>
              <w:t>分</w:t>
            </w:r>
          </w:p>
        </w:tc>
        <w:tc>
          <w:tcPr>
            <w:tcW w:w="1219" w:type="dxa"/>
            <w:gridSpan w:val="2"/>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auto"/>
                <w:sz w:val="20"/>
                <w:szCs w:val="20"/>
              </w:rPr>
            </w:pPr>
            <w:r>
              <w:rPr>
                <w:rFonts w:hint="eastAsia" w:ascii="仿宋_GB2312" w:hAnsi="宋体" w:eastAsia="仿宋_GB2312" w:cs="仿宋_GB2312"/>
                <w:b/>
                <w:color w:val="auto"/>
                <w:kern w:val="0"/>
                <w:sz w:val="20"/>
                <w:szCs w:val="20"/>
              </w:rPr>
              <w:t>业主评价</w:t>
            </w:r>
          </w:p>
        </w:tc>
        <w:tc>
          <w:tcPr>
            <w:tcW w:w="6201" w:type="dxa"/>
            <w:vMerge w:val="restart"/>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对委托代理服务项目整体满意度（代理服务水平、编制交易文件的质量、对项目进行分析和研究、对专用合同条款的合理设定等内容）进行综合评价</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非常满意得</w:t>
            </w:r>
            <w:r>
              <w:rPr>
                <w:rFonts w:hint="eastAsia" w:ascii="仿宋_GB2312" w:hAnsi="宋体" w:eastAsia="仿宋_GB2312" w:cs="仿宋_GB2312"/>
                <w:color w:val="auto"/>
                <w:kern w:val="0"/>
                <w:szCs w:val="21"/>
                <w:lang w:val="en-US" w:eastAsia="zh-CN"/>
              </w:rPr>
              <w:t>5</w:t>
            </w:r>
            <w:r>
              <w:rPr>
                <w:rFonts w:hint="eastAsia" w:ascii="仿宋_GB2312" w:hAnsi="宋体" w:eastAsia="仿宋_GB2312" w:cs="仿宋_GB2312"/>
                <w:color w:val="auto"/>
                <w:kern w:val="0"/>
                <w:szCs w:val="21"/>
              </w:rPr>
              <w:t>分</w:t>
            </w:r>
          </w:p>
        </w:tc>
        <w:tc>
          <w:tcPr>
            <w:tcW w:w="1470" w:type="dxa"/>
            <w:vMerge w:val="restart"/>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评价周期内所有代理服务项目的业主评价分的平均分，</w:t>
            </w:r>
            <w:r>
              <w:rPr>
                <w:rFonts w:hint="eastAsia" w:ascii="仿宋_GB2312" w:hAnsi="宋体" w:eastAsia="仿宋_GB2312" w:cs="仿宋_GB2312"/>
                <w:color w:val="auto"/>
                <w:kern w:val="0"/>
                <w:szCs w:val="21"/>
              </w:rPr>
              <w:t>保留1位小数。</w:t>
            </w:r>
          </w:p>
        </w:tc>
        <w:tc>
          <w:tcPr>
            <w:tcW w:w="1412"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项目业主单位评价，系统自动统计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1219" w:type="dxa"/>
            <w:gridSpan w:val="2"/>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b/>
                <w:color w:val="auto"/>
                <w:sz w:val="20"/>
                <w:szCs w:val="20"/>
              </w:rPr>
            </w:pPr>
          </w:p>
        </w:tc>
        <w:tc>
          <w:tcPr>
            <w:tcW w:w="6201"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kern w:val="0"/>
                <w:szCs w:val="21"/>
              </w:rPr>
            </w:pP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满意得</w:t>
            </w:r>
            <w:r>
              <w:rPr>
                <w:rFonts w:hint="eastAsia" w:ascii="仿宋_GB2312" w:hAnsi="宋体" w:eastAsia="仿宋_GB2312" w:cs="仿宋_GB2312"/>
                <w:color w:val="auto"/>
                <w:kern w:val="0"/>
                <w:szCs w:val="21"/>
                <w:lang w:val="en-US" w:eastAsia="zh-CN"/>
              </w:rPr>
              <w:t>4</w:t>
            </w:r>
            <w:r>
              <w:rPr>
                <w:rFonts w:hint="eastAsia" w:ascii="仿宋_GB2312" w:hAnsi="宋体" w:eastAsia="仿宋_GB2312" w:cs="仿宋_GB2312"/>
                <w:color w:val="auto"/>
                <w:kern w:val="0"/>
                <w:szCs w:val="21"/>
              </w:rPr>
              <w:t>分</w:t>
            </w:r>
          </w:p>
        </w:tc>
        <w:tc>
          <w:tcPr>
            <w:tcW w:w="1470"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4"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1219" w:type="dxa"/>
            <w:gridSpan w:val="2"/>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b/>
                <w:color w:val="auto"/>
                <w:sz w:val="20"/>
                <w:szCs w:val="20"/>
              </w:rPr>
            </w:pPr>
          </w:p>
        </w:tc>
        <w:tc>
          <w:tcPr>
            <w:tcW w:w="6201"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kern w:val="0"/>
                <w:szCs w:val="21"/>
              </w:rPr>
            </w:pP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较满意得</w:t>
            </w:r>
            <w:r>
              <w:rPr>
                <w:rFonts w:hint="eastAsia" w:ascii="仿宋_GB2312" w:hAnsi="宋体" w:eastAsia="仿宋_GB2312" w:cs="仿宋_GB2312"/>
                <w:color w:val="auto"/>
                <w:kern w:val="0"/>
                <w:szCs w:val="21"/>
                <w:lang w:val="en-US" w:eastAsia="zh-CN"/>
              </w:rPr>
              <w:t>3</w:t>
            </w:r>
            <w:r>
              <w:rPr>
                <w:rFonts w:hint="eastAsia" w:ascii="仿宋_GB2312" w:hAnsi="宋体" w:eastAsia="仿宋_GB2312" w:cs="仿宋_GB2312"/>
                <w:color w:val="auto"/>
                <w:kern w:val="0"/>
                <w:szCs w:val="21"/>
              </w:rPr>
              <w:t>分</w:t>
            </w:r>
          </w:p>
        </w:tc>
        <w:tc>
          <w:tcPr>
            <w:tcW w:w="1470"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2"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1219" w:type="dxa"/>
            <w:gridSpan w:val="2"/>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b/>
                <w:color w:val="auto"/>
                <w:sz w:val="20"/>
                <w:szCs w:val="20"/>
              </w:rPr>
            </w:pPr>
          </w:p>
        </w:tc>
        <w:tc>
          <w:tcPr>
            <w:tcW w:w="6201"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kern w:val="0"/>
                <w:szCs w:val="21"/>
              </w:rPr>
            </w:pP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一般得</w:t>
            </w:r>
            <w:r>
              <w:rPr>
                <w:rFonts w:hint="eastAsia" w:ascii="仿宋_GB2312" w:hAnsi="宋体" w:eastAsia="仿宋_GB2312" w:cs="仿宋_GB2312"/>
                <w:color w:val="auto"/>
                <w:kern w:val="0"/>
                <w:szCs w:val="21"/>
                <w:lang w:val="en-US" w:eastAsia="zh-CN"/>
              </w:rPr>
              <w:t>2</w:t>
            </w:r>
            <w:r>
              <w:rPr>
                <w:rFonts w:hint="eastAsia" w:ascii="仿宋_GB2312" w:hAnsi="宋体" w:eastAsia="仿宋_GB2312" w:cs="仿宋_GB2312"/>
                <w:color w:val="auto"/>
                <w:kern w:val="0"/>
                <w:szCs w:val="21"/>
              </w:rPr>
              <w:t>分</w:t>
            </w:r>
          </w:p>
        </w:tc>
        <w:tc>
          <w:tcPr>
            <w:tcW w:w="1470"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2"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1219" w:type="dxa"/>
            <w:gridSpan w:val="2"/>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b/>
                <w:color w:val="auto"/>
                <w:sz w:val="20"/>
                <w:szCs w:val="20"/>
              </w:rPr>
            </w:pPr>
          </w:p>
        </w:tc>
        <w:tc>
          <w:tcPr>
            <w:tcW w:w="6201"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kern w:val="0"/>
                <w:szCs w:val="21"/>
              </w:rPr>
            </w:pP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kern w:val="0"/>
                <w:szCs w:val="21"/>
              </w:rPr>
            </w:pPr>
            <w:r>
              <w:rPr>
                <w:rFonts w:hint="eastAsia" w:ascii="仿宋_GB2312" w:hAnsi="宋体" w:eastAsia="仿宋_GB2312" w:cs="仿宋_GB2312"/>
                <w:color w:val="auto"/>
                <w:kern w:val="0"/>
                <w:szCs w:val="21"/>
              </w:rPr>
              <w:t>不满意得0分</w:t>
            </w:r>
          </w:p>
        </w:tc>
        <w:tc>
          <w:tcPr>
            <w:tcW w:w="1470"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72"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auto"/>
                <w:sz w:val="20"/>
                <w:szCs w:val="20"/>
              </w:rPr>
            </w:pPr>
            <w:r>
              <w:rPr>
                <w:rFonts w:hint="eastAsia" w:ascii="宋体" w:hAnsi="宋体"/>
                <w:color w:val="auto"/>
                <w:kern w:val="0"/>
                <w:sz w:val="20"/>
                <w:szCs w:val="20"/>
              </w:rPr>
              <w:t>10分</w:t>
            </w:r>
          </w:p>
        </w:tc>
        <w:tc>
          <w:tcPr>
            <w:tcW w:w="1219" w:type="dxa"/>
            <w:gridSpan w:val="2"/>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auto"/>
                <w:sz w:val="20"/>
                <w:szCs w:val="20"/>
              </w:rPr>
            </w:pPr>
            <w:r>
              <w:rPr>
                <w:rFonts w:hint="eastAsia" w:ascii="仿宋_GB2312" w:hAnsi="宋体" w:eastAsia="仿宋_GB2312" w:cs="仿宋_GB2312"/>
                <w:b/>
                <w:color w:val="auto"/>
                <w:kern w:val="0"/>
                <w:sz w:val="20"/>
                <w:szCs w:val="20"/>
              </w:rPr>
              <w:t>服务业绩</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szCs w:val="21"/>
              </w:rPr>
            </w:pPr>
            <w:r>
              <w:rPr>
                <w:rFonts w:hint="eastAsia" w:ascii="仿宋_GB2312" w:hAnsi="宋体" w:eastAsia="仿宋_GB2312" w:cs="仿宋_GB2312"/>
                <w:color w:val="auto"/>
                <w:kern w:val="0"/>
                <w:szCs w:val="21"/>
              </w:rPr>
              <w:t>根据代理服务项目数量（评价周期内公共资源交易进场代理服务业绩数量）评价周期内完成代理服务项目100个的得10分</w:t>
            </w:r>
          </w:p>
        </w:tc>
        <w:tc>
          <w:tcPr>
            <w:tcW w:w="3231" w:type="dxa"/>
            <w:gridSpan w:val="2"/>
            <w:vMerge w:val="restart"/>
            <w:tcBorders>
              <w:tl2br w:val="nil"/>
              <w:tr2bl w:val="nil"/>
            </w:tcBorders>
            <w:shd w:val="clear" w:color="auto" w:fill="FFFFFF"/>
            <w:tcMar>
              <w:top w:w="15" w:type="dxa"/>
              <w:left w:w="15" w:type="dxa"/>
              <w:right w:w="15" w:type="dxa"/>
            </w:tcMar>
            <w:vAlign w:val="center"/>
          </w:tcPr>
          <w:p>
            <w:pPr>
              <w:widowControl/>
              <w:jc w:val="left"/>
              <w:textAlignment w:val="center"/>
              <w:rPr>
                <w:rFonts w:eastAsia="仿宋_GB2312"/>
                <w:color w:val="auto"/>
              </w:rPr>
            </w:pPr>
            <w:r>
              <w:rPr>
                <w:rFonts w:hint="eastAsia" w:ascii="仿宋_GB2312" w:hAnsi="宋体" w:eastAsia="仿宋_GB2312" w:cs="仿宋_GB2312"/>
                <w:color w:val="auto"/>
                <w:kern w:val="0"/>
                <w:sz w:val="20"/>
                <w:szCs w:val="20"/>
              </w:rPr>
              <w:t>Y=B1/B2*10；Y：指评价周期内代理业绩得分；B1：指评价周期代理业绩数量或代理业绩中标总金额；B2：指代理服务项目100个或代理中标总金额10亿。说明：在评价周期度内按产生的项目数或金额根据公式计分，以中标通知书发放时间为准，保留1位小数，最高得分10分。以数量或金额计算，只计最高</w:t>
            </w:r>
            <w:r>
              <w:rPr>
                <w:rFonts w:hint="eastAsia" w:ascii="仿宋_GB2312" w:hAnsi="宋体" w:eastAsia="仿宋_GB2312" w:cs="仿宋_GB2312"/>
                <w:color w:val="auto"/>
                <w:kern w:val="0"/>
                <w:sz w:val="20"/>
                <w:szCs w:val="20"/>
                <w:lang w:eastAsia="zh-CN"/>
              </w:rPr>
              <w:t>量</w:t>
            </w:r>
            <w:r>
              <w:rPr>
                <w:rFonts w:hint="eastAsia" w:ascii="仿宋_GB2312" w:hAnsi="宋体" w:eastAsia="仿宋_GB2312" w:cs="仿宋_GB2312"/>
                <w:color w:val="auto"/>
                <w:kern w:val="0"/>
                <w:sz w:val="20"/>
                <w:szCs w:val="20"/>
              </w:rPr>
              <w:t>。</w:t>
            </w:r>
          </w:p>
        </w:tc>
        <w:tc>
          <w:tcPr>
            <w:tcW w:w="1412"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系统自动统计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6"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1219" w:type="dxa"/>
            <w:gridSpan w:val="2"/>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b/>
                <w:color w:val="auto"/>
                <w:sz w:val="20"/>
                <w:szCs w:val="20"/>
              </w:rPr>
            </w:pP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szCs w:val="21"/>
              </w:rPr>
            </w:pPr>
            <w:r>
              <w:rPr>
                <w:rFonts w:hint="eastAsia" w:ascii="仿宋_GB2312" w:hAnsi="宋体" w:eastAsia="仿宋_GB2312" w:cs="仿宋_GB2312"/>
                <w:color w:val="auto"/>
                <w:kern w:val="0"/>
                <w:szCs w:val="21"/>
              </w:rPr>
              <w:t>根据代理服务项目金额（评价周期内公共资源交易进场代理服务业绩中标总金额）评价周期内完成代理服务项目中标总金额10亿得10分</w:t>
            </w:r>
          </w:p>
        </w:tc>
        <w:tc>
          <w:tcPr>
            <w:tcW w:w="3231" w:type="dxa"/>
            <w:gridSpan w:val="2"/>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Cs w:val="21"/>
              </w:rPr>
            </w:pP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7" w:hRule="atLeast"/>
        </w:trPr>
        <w:tc>
          <w:tcPr>
            <w:tcW w:w="1135" w:type="dxa"/>
            <w:vMerge w:val="restart"/>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r>
              <w:rPr>
                <w:rFonts w:hint="eastAsia" w:ascii="宋体" w:hAnsi="宋体"/>
                <w:b/>
                <w:color w:val="auto"/>
                <w:sz w:val="20"/>
                <w:szCs w:val="20"/>
              </w:rPr>
              <w:t>奖励</w:t>
            </w:r>
          </w:p>
          <w:p>
            <w:pPr>
              <w:jc w:val="center"/>
              <w:rPr>
                <w:rFonts w:ascii="宋体" w:hAnsi="宋体"/>
                <w:color w:val="auto"/>
                <w:sz w:val="20"/>
                <w:szCs w:val="20"/>
              </w:rPr>
            </w:pPr>
            <w:r>
              <w:rPr>
                <w:rFonts w:hint="eastAsia" w:ascii="宋体" w:hAnsi="宋体"/>
                <w:b/>
                <w:color w:val="auto"/>
                <w:sz w:val="20"/>
                <w:szCs w:val="20"/>
              </w:rPr>
              <w:t>（加分项，10分）</w:t>
            </w: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auto"/>
                <w:sz w:val="20"/>
                <w:szCs w:val="20"/>
              </w:rPr>
            </w:pPr>
            <w:r>
              <w:rPr>
                <w:rFonts w:hint="eastAsia" w:ascii="宋体" w:hAnsi="宋体"/>
                <w:color w:val="auto"/>
                <w:kern w:val="0"/>
                <w:sz w:val="20"/>
                <w:szCs w:val="20"/>
              </w:rPr>
              <w:t>5分</w:t>
            </w:r>
          </w:p>
        </w:tc>
        <w:tc>
          <w:tcPr>
            <w:tcW w:w="1219" w:type="dxa"/>
            <w:gridSpan w:val="2"/>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auto"/>
                <w:sz w:val="20"/>
                <w:szCs w:val="20"/>
              </w:rPr>
            </w:pPr>
            <w:r>
              <w:rPr>
                <w:rFonts w:hint="eastAsia" w:ascii="仿宋_GB2312" w:hAnsi="宋体" w:eastAsia="仿宋_GB2312" w:cs="仿宋_GB2312"/>
                <w:b/>
                <w:color w:val="auto"/>
                <w:kern w:val="0"/>
                <w:sz w:val="20"/>
                <w:szCs w:val="20"/>
              </w:rPr>
              <w:t>社会责任和行业建设</w:t>
            </w: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szCs w:val="21"/>
              </w:rPr>
            </w:pPr>
            <w:r>
              <w:rPr>
                <w:rFonts w:hint="eastAsia" w:ascii="仿宋_GB2312" w:hAnsi="宋体" w:eastAsia="仿宋_GB2312" w:cs="仿宋_GB2312"/>
                <w:color w:val="auto"/>
                <w:kern w:val="0"/>
                <w:szCs w:val="21"/>
              </w:rPr>
              <w:t>评价周期内，对交易相关事项提出合理化修改意见被采纳；</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Cs w:val="21"/>
              </w:rPr>
            </w:pPr>
            <w:r>
              <w:rPr>
                <w:rFonts w:hint="eastAsia" w:ascii="仿宋_GB2312" w:hAnsi="宋体" w:eastAsia="仿宋_GB2312" w:cs="仿宋_GB2312"/>
                <w:color w:val="auto"/>
                <w:kern w:val="0"/>
                <w:szCs w:val="21"/>
              </w:rPr>
              <w:t>加2分</w:t>
            </w:r>
          </w:p>
        </w:tc>
        <w:tc>
          <w:tcPr>
            <w:tcW w:w="1470"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累计得分，最多得5分(不同事项可累计加分）</w:t>
            </w:r>
          </w:p>
        </w:tc>
        <w:tc>
          <w:tcPr>
            <w:tcW w:w="1412"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各级公共资源交易管理机构出具材料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9"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1219" w:type="dxa"/>
            <w:gridSpan w:val="2"/>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b/>
                <w:color w:val="auto"/>
                <w:sz w:val="20"/>
                <w:szCs w:val="20"/>
              </w:rPr>
            </w:pP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szCs w:val="21"/>
              </w:rPr>
            </w:pPr>
            <w:r>
              <w:rPr>
                <w:rFonts w:hint="eastAsia" w:ascii="仿宋_GB2312" w:hAnsi="宋体" w:eastAsia="仿宋_GB2312" w:cs="仿宋_GB2312"/>
                <w:color w:val="auto"/>
                <w:kern w:val="0"/>
                <w:szCs w:val="21"/>
              </w:rPr>
              <w:t>评价周期内，有效制止交易事项重大违法违规行为发生或提供项目实施过程中违法违规有效线索的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Cs w:val="21"/>
              </w:rPr>
            </w:pPr>
            <w:r>
              <w:rPr>
                <w:rFonts w:hint="eastAsia" w:ascii="仿宋_GB2312" w:hAnsi="宋体" w:eastAsia="仿宋_GB2312" w:cs="仿宋_GB2312"/>
                <w:color w:val="auto"/>
                <w:kern w:val="0"/>
                <w:szCs w:val="21"/>
              </w:rPr>
              <w:t>加2分</w:t>
            </w:r>
          </w:p>
        </w:tc>
        <w:tc>
          <w:tcPr>
            <w:tcW w:w="1470"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9"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1219" w:type="dxa"/>
            <w:gridSpan w:val="2"/>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b/>
                <w:color w:val="auto"/>
                <w:sz w:val="20"/>
                <w:szCs w:val="20"/>
              </w:rPr>
            </w:pP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hint="eastAsia" w:ascii="仿宋_GB2312" w:hAnsi="宋体" w:eastAsia="仿宋_GB2312" w:cs="仿宋_GB2312"/>
                <w:color w:val="auto"/>
                <w:kern w:val="0"/>
                <w:szCs w:val="21"/>
              </w:rPr>
            </w:pPr>
            <w:r>
              <w:rPr>
                <w:rFonts w:hint="eastAsia" w:ascii="仿宋_GB2312" w:hAnsi="宋体" w:eastAsia="仿宋_GB2312" w:cs="仿宋_GB2312"/>
                <w:color w:val="auto"/>
                <w:kern w:val="0"/>
                <w:szCs w:val="21"/>
              </w:rPr>
              <w:t>评价周期内，在公开发行的杂志、有关专业官方网站、期刊上（有刊号）每发表1篇与公共资源交易相关的论文的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仿宋_GB2312"/>
                <w:color w:val="auto"/>
                <w:kern w:val="0"/>
                <w:szCs w:val="21"/>
              </w:rPr>
            </w:pPr>
            <w:r>
              <w:rPr>
                <w:rFonts w:hint="eastAsia" w:ascii="仿宋_GB2312" w:hAnsi="宋体" w:eastAsia="仿宋_GB2312" w:cs="仿宋_GB2312"/>
                <w:color w:val="auto"/>
                <w:kern w:val="0"/>
                <w:szCs w:val="21"/>
              </w:rPr>
              <w:t>加2分</w:t>
            </w:r>
          </w:p>
        </w:tc>
        <w:tc>
          <w:tcPr>
            <w:tcW w:w="1470"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2"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1219" w:type="dxa"/>
            <w:gridSpan w:val="2"/>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b/>
                <w:color w:val="auto"/>
                <w:sz w:val="20"/>
                <w:szCs w:val="20"/>
              </w:rPr>
            </w:pP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szCs w:val="21"/>
              </w:rPr>
            </w:pPr>
            <w:r>
              <w:rPr>
                <w:rFonts w:hint="eastAsia" w:ascii="仿宋_GB2312" w:hAnsi="宋体" w:eastAsia="仿宋_GB2312" w:cs="仿宋_GB2312"/>
                <w:color w:val="auto"/>
                <w:kern w:val="0"/>
                <w:szCs w:val="21"/>
              </w:rPr>
              <w:t>评价周期内，</w:t>
            </w:r>
            <w:r>
              <w:rPr>
                <w:rFonts w:hint="eastAsia" w:ascii="仿宋_GB2312" w:hAnsi="宋体" w:eastAsia="仿宋_GB2312" w:cs="仿宋_GB2312"/>
                <w:color w:val="auto"/>
                <w:kern w:val="0"/>
                <w:szCs w:val="21"/>
                <w:lang w:eastAsia="zh-CN"/>
              </w:rPr>
              <w:t>参加公益活动受到各级公共资源交易行政主管部门表彰</w:t>
            </w:r>
            <w:r>
              <w:rPr>
                <w:rFonts w:hint="eastAsia" w:ascii="仿宋_GB2312" w:hAnsi="宋体" w:eastAsia="仿宋_GB2312" w:cs="仿宋_GB2312"/>
                <w:color w:val="auto"/>
                <w:kern w:val="0"/>
                <w:szCs w:val="21"/>
              </w:rPr>
              <w:t>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Cs w:val="21"/>
              </w:rPr>
            </w:pPr>
            <w:r>
              <w:rPr>
                <w:rFonts w:hint="eastAsia" w:ascii="仿宋_GB2312" w:hAnsi="宋体" w:eastAsia="仿宋_GB2312" w:cs="仿宋_GB2312"/>
                <w:color w:val="auto"/>
                <w:kern w:val="0"/>
                <w:szCs w:val="21"/>
              </w:rPr>
              <w:t>加2分</w:t>
            </w:r>
          </w:p>
        </w:tc>
        <w:tc>
          <w:tcPr>
            <w:tcW w:w="1470"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2"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宋体" w:hAnsi="宋体"/>
                <w:color w:val="auto"/>
                <w:sz w:val="20"/>
                <w:szCs w:val="20"/>
              </w:rPr>
            </w:pPr>
            <w:r>
              <w:rPr>
                <w:rFonts w:hint="eastAsia" w:ascii="宋体" w:hAnsi="宋体"/>
                <w:color w:val="auto"/>
                <w:kern w:val="0"/>
                <w:sz w:val="20"/>
                <w:szCs w:val="20"/>
              </w:rPr>
              <w:t>5分</w:t>
            </w:r>
          </w:p>
        </w:tc>
        <w:tc>
          <w:tcPr>
            <w:tcW w:w="1219" w:type="dxa"/>
            <w:gridSpan w:val="2"/>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b/>
                <w:color w:val="auto"/>
                <w:kern w:val="0"/>
                <w:sz w:val="20"/>
                <w:szCs w:val="20"/>
              </w:rPr>
            </w:pPr>
            <w:r>
              <w:rPr>
                <w:rFonts w:hint="eastAsia" w:ascii="仿宋_GB2312" w:hAnsi="宋体" w:eastAsia="仿宋_GB2312" w:cs="仿宋_GB2312"/>
                <w:b/>
                <w:color w:val="auto"/>
                <w:kern w:val="0"/>
                <w:sz w:val="20"/>
                <w:szCs w:val="20"/>
              </w:rPr>
              <w:t xml:space="preserve">表彰奖励 </w:t>
            </w:r>
          </w:p>
          <w:p>
            <w:pPr>
              <w:widowControl/>
              <w:jc w:val="center"/>
              <w:textAlignment w:val="center"/>
              <w:rPr>
                <w:rFonts w:ascii="仿宋_GB2312" w:hAnsi="宋体" w:eastAsia="仿宋_GB2312" w:cs="仿宋_GB2312"/>
                <w:b/>
                <w:color w:val="auto"/>
                <w:sz w:val="20"/>
                <w:szCs w:val="20"/>
              </w:rPr>
            </w:pP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szCs w:val="21"/>
              </w:rPr>
            </w:pPr>
            <w:r>
              <w:rPr>
                <w:rFonts w:hint="eastAsia" w:ascii="仿宋_GB2312" w:hAnsi="宋体" w:eastAsia="仿宋_GB2312" w:cs="仿宋_GB2312"/>
                <w:color w:val="auto"/>
                <w:kern w:val="0"/>
                <w:szCs w:val="21"/>
              </w:rPr>
              <w:t>评价周期内</w:t>
            </w:r>
            <w:r>
              <w:rPr>
                <w:rFonts w:hint="eastAsia" w:ascii="仿宋_GB2312" w:hAnsi="宋体" w:eastAsia="仿宋_GB2312" w:cs="仿宋_GB2312"/>
                <w:color w:val="auto"/>
                <w:kern w:val="0"/>
                <w:szCs w:val="21"/>
                <w:lang w:eastAsia="zh-CN"/>
              </w:rPr>
              <w:t>招标采购业务</w:t>
            </w:r>
            <w:r>
              <w:rPr>
                <w:rFonts w:hint="eastAsia" w:ascii="仿宋_GB2312" w:hAnsi="宋体" w:eastAsia="仿宋_GB2312" w:cs="仿宋_GB2312"/>
                <w:color w:val="auto"/>
                <w:kern w:val="0"/>
                <w:szCs w:val="21"/>
              </w:rPr>
              <w:t>受到国家级</w:t>
            </w:r>
            <w:r>
              <w:rPr>
                <w:rFonts w:hint="eastAsia" w:ascii="仿宋_GB2312" w:hAnsi="宋体" w:eastAsia="仿宋_GB2312" w:cs="仿宋_GB2312"/>
                <w:color w:val="auto"/>
                <w:kern w:val="0"/>
                <w:szCs w:val="21"/>
                <w:lang w:eastAsia="zh-CN"/>
              </w:rPr>
              <w:t>相关行政</w:t>
            </w:r>
            <w:r>
              <w:rPr>
                <w:rFonts w:hint="eastAsia" w:ascii="仿宋_GB2312" w:hAnsi="宋体" w:eastAsia="仿宋_GB2312" w:cs="仿宋_GB2312"/>
                <w:color w:val="auto"/>
                <w:kern w:val="0"/>
                <w:szCs w:val="21"/>
              </w:rPr>
              <w:t>主管部门通报表扬或奖励的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Cs w:val="21"/>
              </w:rPr>
            </w:pPr>
            <w:r>
              <w:rPr>
                <w:rFonts w:hint="eastAsia" w:ascii="仿宋_GB2312" w:hAnsi="宋体" w:eastAsia="仿宋_GB2312" w:cs="仿宋_GB2312"/>
                <w:color w:val="auto"/>
                <w:kern w:val="0"/>
                <w:szCs w:val="21"/>
              </w:rPr>
              <w:t>加5分</w:t>
            </w:r>
          </w:p>
        </w:tc>
        <w:tc>
          <w:tcPr>
            <w:tcW w:w="1470"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奖励信息以奖项的发文时间开始计算，评价周期内累计得分，最多得5分(同一事项按最高计分，不同事项可累计加分)</w:t>
            </w:r>
          </w:p>
        </w:tc>
        <w:tc>
          <w:tcPr>
            <w:tcW w:w="1412"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rPr>
              <w:t>企业通过</w:t>
            </w:r>
            <w:r>
              <w:rPr>
                <w:rFonts w:hint="eastAsia" w:ascii="仿宋_GB2312" w:hAnsi="宋体" w:eastAsia="仿宋_GB2312" w:cs="仿宋_GB2312"/>
                <w:color w:val="auto"/>
                <w:kern w:val="0"/>
                <w:sz w:val="20"/>
                <w:szCs w:val="20"/>
                <w:lang w:eastAsia="zh-CN"/>
              </w:rPr>
              <w:t>书面</w:t>
            </w:r>
            <w:r>
              <w:rPr>
                <w:rFonts w:hint="eastAsia" w:ascii="仿宋_GB2312" w:hAnsi="宋体" w:eastAsia="仿宋_GB2312" w:cs="仿宋_GB2312"/>
                <w:color w:val="auto"/>
                <w:kern w:val="0"/>
                <w:sz w:val="20"/>
                <w:szCs w:val="20"/>
              </w:rPr>
              <w:t>自行申报，市交易中心负责审核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1"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1219" w:type="dxa"/>
            <w:gridSpan w:val="2"/>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b/>
                <w:color w:val="auto"/>
                <w:sz w:val="20"/>
                <w:szCs w:val="20"/>
              </w:rPr>
            </w:pPr>
          </w:p>
        </w:tc>
        <w:tc>
          <w:tcPr>
            <w:tcW w:w="6201" w:type="dxa"/>
            <w:tcBorders>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szCs w:val="21"/>
              </w:rPr>
            </w:pPr>
            <w:r>
              <w:rPr>
                <w:rFonts w:hint="eastAsia" w:ascii="仿宋_GB2312" w:hAnsi="宋体" w:eastAsia="仿宋_GB2312" w:cs="仿宋_GB2312"/>
                <w:color w:val="auto"/>
                <w:kern w:val="0"/>
                <w:szCs w:val="21"/>
              </w:rPr>
              <w:t>评价周期内</w:t>
            </w:r>
            <w:r>
              <w:rPr>
                <w:rFonts w:hint="eastAsia" w:ascii="仿宋_GB2312" w:hAnsi="宋体" w:eastAsia="仿宋_GB2312" w:cs="仿宋_GB2312"/>
                <w:color w:val="auto"/>
                <w:kern w:val="0"/>
                <w:szCs w:val="21"/>
                <w:lang w:eastAsia="zh-CN"/>
              </w:rPr>
              <w:t>招标采购业务</w:t>
            </w:r>
            <w:r>
              <w:rPr>
                <w:rFonts w:hint="eastAsia" w:ascii="仿宋_GB2312" w:hAnsi="宋体" w:eastAsia="仿宋_GB2312" w:cs="仿宋_GB2312"/>
                <w:color w:val="auto"/>
                <w:kern w:val="0"/>
                <w:szCs w:val="21"/>
              </w:rPr>
              <w:t>受到</w:t>
            </w:r>
            <w:r>
              <w:rPr>
                <w:rFonts w:hint="eastAsia" w:ascii="仿宋_GB2312" w:hAnsi="宋体" w:eastAsia="仿宋_GB2312" w:cs="仿宋_GB2312"/>
                <w:color w:val="auto"/>
                <w:kern w:val="0"/>
                <w:szCs w:val="21"/>
                <w:lang w:eastAsia="zh-CN"/>
              </w:rPr>
              <w:t>省</w:t>
            </w:r>
            <w:r>
              <w:rPr>
                <w:rFonts w:hint="eastAsia" w:ascii="仿宋_GB2312" w:hAnsi="宋体" w:eastAsia="仿宋_GB2312" w:cs="仿宋_GB2312"/>
                <w:color w:val="auto"/>
                <w:kern w:val="0"/>
                <w:szCs w:val="21"/>
              </w:rPr>
              <w:t>级</w:t>
            </w:r>
            <w:r>
              <w:rPr>
                <w:rFonts w:hint="eastAsia" w:ascii="仿宋_GB2312" w:hAnsi="宋体" w:eastAsia="仿宋_GB2312" w:cs="仿宋_GB2312"/>
                <w:color w:val="auto"/>
                <w:kern w:val="0"/>
                <w:szCs w:val="21"/>
                <w:lang w:eastAsia="zh-CN"/>
              </w:rPr>
              <w:t>相关行政</w:t>
            </w:r>
            <w:r>
              <w:rPr>
                <w:rFonts w:hint="eastAsia" w:ascii="仿宋_GB2312" w:hAnsi="宋体" w:eastAsia="仿宋_GB2312" w:cs="仿宋_GB2312"/>
                <w:color w:val="auto"/>
                <w:kern w:val="0"/>
                <w:szCs w:val="21"/>
              </w:rPr>
              <w:t>主管部门通报表扬或奖励的</w:t>
            </w:r>
          </w:p>
        </w:tc>
        <w:tc>
          <w:tcPr>
            <w:tcW w:w="1761"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auto"/>
                <w:szCs w:val="21"/>
              </w:rPr>
            </w:pPr>
            <w:r>
              <w:rPr>
                <w:rFonts w:hint="eastAsia" w:ascii="仿宋_GB2312" w:hAnsi="宋体" w:eastAsia="仿宋_GB2312" w:cs="仿宋_GB2312"/>
                <w:color w:val="auto"/>
                <w:kern w:val="0"/>
                <w:szCs w:val="21"/>
              </w:rPr>
              <w:t>加4分</w:t>
            </w:r>
          </w:p>
        </w:tc>
        <w:tc>
          <w:tcPr>
            <w:tcW w:w="1470"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3" w:hRule="atLeast"/>
        </w:trPr>
        <w:tc>
          <w:tcPr>
            <w:tcW w:w="1135"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b/>
                <w:color w:val="auto"/>
                <w:sz w:val="20"/>
                <w:szCs w:val="20"/>
              </w:rPr>
            </w:pPr>
          </w:p>
        </w:tc>
        <w:tc>
          <w:tcPr>
            <w:tcW w:w="567" w:type="dxa"/>
            <w:vMerge w:val="continue"/>
            <w:tcBorders>
              <w:tl2br w:val="nil"/>
              <w:tr2bl w:val="nil"/>
            </w:tcBorders>
            <w:shd w:val="clear" w:color="auto" w:fill="FFFFFF"/>
            <w:tcMar>
              <w:top w:w="15" w:type="dxa"/>
              <w:left w:w="15" w:type="dxa"/>
              <w:right w:w="15" w:type="dxa"/>
            </w:tcMar>
            <w:vAlign w:val="center"/>
          </w:tcPr>
          <w:p>
            <w:pPr>
              <w:jc w:val="center"/>
              <w:rPr>
                <w:rFonts w:ascii="宋体" w:hAnsi="宋体"/>
                <w:color w:val="auto"/>
                <w:sz w:val="20"/>
                <w:szCs w:val="20"/>
              </w:rPr>
            </w:pPr>
          </w:p>
        </w:tc>
        <w:tc>
          <w:tcPr>
            <w:tcW w:w="1219" w:type="dxa"/>
            <w:gridSpan w:val="2"/>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b/>
                <w:color w:val="auto"/>
                <w:sz w:val="20"/>
                <w:szCs w:val="20"/>
              </w:rPr>
            </w:pPr>
          </w:p>
        </w:tc>
        <w:tc>
          <w:tcPr>
            <w:tcW w:w="6201" w:type="dxa"/>
            <w:tcBorders>
              <w:bottom w:val="single" w:color="auto" w:sz="4" w:space="0"/>
              <w:tl2br w:val="nil"/>
              <w:tr2bl w:val="nil"/>
            </w:tcBorders>
            <w:shd w:val="clear" w:color="auto" w:fill="FFFFFF"/>
            <w:tcMar>
              <w:top w:w="15" w:type="dxa"/>
              <w:left w:w="15" w:type="dxa"/>
              <w:right w:w="15" w:type="dxa"/>
            </w:tcMar>
            <w:vAlign w:val="center"/>
          </w:tcPr>
          <w:p>
            <w:pPr>
              <w:widowControl/>
              <w:jc w:val="left"/>
              <w:textAlignment w:val="center"/>
              <w:rPr>
                <w:rFonts w:ascii="仿宋_GB2312" w:hAnsi="宋体" w:eastAsia="仿宋_GB2312" w:cs="仿宋_GB2312"/>
                <w:color w:val="auto"/>
                <w:szCs w:val="21"/>
              </w:rPr>
            </w:pPr>
            <w:r>
              <w:rPr>
                <w:rFonts w:hint="eastAsia" w:ascii="仿宋_GB2312" w:hAnsi="宋体" w:eastAsia="仿宋_GB2312" w:cs="仿宋_GB2312"/>
                <w:color w:val="auto"/>
                <w:kern w:val="0"/>
                <w:szCs w:val="21"/>
              </w:rPr>
              <w:t>评价周期内</w:t>
            </w:r>
            <w:r>
              <w:rPr>
                <w:rFonts w:hint="eastAsia" w:ascii="仿宋_GB2312" w:hAnsi="宋体" w:eastAsia="仿宋_GB2312" w:cs="仿宋_GB2312"/>
                <w:color w:val="auto"/>
                <w:kern w:val="0"/>
                <w:szCs w:val="21"/>
                <w:lang w:eastAsia="zh-CN"/>
              </w:rPr>
              <w:t>招标采购业务</w:t>
            </w:r>
            <w:r>
              <w:rPr>
                <w:rFonts w:hint="eastAsia" w:ascii="仿宋_GB2312" w:hAnsi="宋体" w:eastAsia="仿宋_GB2312" w:cs="仿宋_GB2312"/>
                <w:color w:val="auto"/>
                <w:kern w:val="0"/>
                <w:szCs w:val="21"/>
              </w:rPr>
              <w:t>受到</w:t>
            </w:r>
            <w:r>
              <w:rPr>
                <w:rFonts w:hint="eastAsia" w:ascii="仿宋_GB2312" w:hAnsi="宋体" w:eastAsia="仿宋_GB2312" w:cs="仿宋_GB2312"/>
                <w:color w:val="auto"/>
                <w:kern w:val="0"/>
                <w:szCs w:val="21"/>
                <w:lang w:eastAsia="zh-CN"/>
              </w:rPr>
              <w:t>市县</w:t>
            </w:r>
            <w:r>
              <w:rPr>
                <w:rFonts w:hint="eastAsia" w:ascii="仿宋_GB2312" w:hAnsi="宋体" w:eastAsia="仿宋_GB2312" w:cs="仿宋_GB2312"/>
                <w:color w:val="auto"/>
                <w:kern w:val="0"/>
                <w:szCs w:val="21"/>
              </w:rPr>
              <w:t>级</w:t>
            </w:r>
            <w:r>
              <w:rPr>
                <w:rFonts w:hint="eastAsia" w:ascii="仿宋_GB2312" w:hAnsi="宋体" w:eastAsia="仿宋_GB2312" w:cs="仿宋_GB2312"/>
                <w:color w:val="auto"/>
                <w:kern w:val="0"/>
                <w:szCs w:val="21"/>
                <w:lang w:eastAsia="zh-CN"/>
              </w:rPr>
              <w:t>相关行政</w:t>
            </w:r>
            <w:r>
              <w:rPr>
                <w:rFonts w:hint="eastAsia" w:ascii="仿宋_GB2312" w:hAnsi="宋体" w:eastAsia="仿宋_GB2312" w:cs="仿宋_GB2312"/>
                <w:color w:val="auto"/>
                <w:kern w:val="0"/>
                <w:szCs w:val="21"/>
              </w:rPr>
              <w:t>主管部门</w:t>
            </w:r>
            <w:r>
              <w:rPr>
                <w:rFonts w:hint="eastAsia" w:ascii="仿宋_GB2312" w:hAnsi="仿宋" w:eastAsia="仿宋_GB2312" w:cs="仿宋_GB2312"/>
                <w:color w:val="auto"/>
                <w:kern w:val="0"/>
                <w:szCs w:val="21"/>
              </w:rPr>
              <w:t>通报表扬或奖励的</w:t>
            </w:r>
          </w:p>
        </w:tc>
        <w:tc>
          <w:tcPr>
            <w:tcW w:w="1761" w:type="dxa"/>
            <w:tcBorders>
              <w:bottom w:val="single" w:color="auto" w:sz="4" w:space="0"/>
              <w:tl2br w:val="nil"/>
              <w:tr2bl w:val="nil"/>
            </w:tcBorders>
            <w:shd w:val="clear" w:color="auto" w:fill="FFFFFF"/>
            <w:tcMar>
              <w:top w:w="15" w:type="dxa"/>
              <w:left w:w="15" w:type="dxa"/>
              <w:right w:w="15" w:type="dxa"/>
            </w:tcMar>
            <w:vAlign w:val="center"/>
          </w:tcPr>
          <w:p>
            <w:pPr>
              <w:widowControl/>
              <w:ind w:firstLine="525" w:firstLineChars="250"/>
              <w:textAlignment w:val="center"/>
              <w:rPr>
                <w:rFonts w:ascii="仿宋_GB2312" w:hAnsi="宋体" w:eastAsia="仿宋_GB2312" w:cs="仿宋_GB2312"/>
                <w:color w:val="auto"/>
                <w:szCs w:val="21"/>
              </w:rPr>
            </w:pPr>
            <w:r>
              <w:rPr>
                <w:rFonts w:hint="eastAsia" w:ascii="仿宋_GB2312" w:hAnsi="宋体" w:eastAsia="仿宋_GB2312" w:cs="仿宋_GB2312"/>
                <w:color w:val="auto"/>
                <w:kern w:val="0"/>
                <w:szCs w:val="21"/>
              </w:rPr>
              <w:t>加2分</w:t>
            </w:r>
          </w:p>
        </w:tc>
        <w:tc>
          <w:tcPr>
            <w:tcW w:w="1470"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c>
          <w:tcPr>
            <w:tcW w:w="1412" w:type="dxa"/>
            <w:vMerge w:val="continue"/>
            <w:tcBorders>
              <w:tl2br w:val="nil"/>
              <w:tr2bl w:val="nil"/>
            </w:tcBorders>
            <w:shd w:val="clear" w:color="auto" w:fill="FFFFFF"/>
            <w:tcMar>
              <w:top w:w="15" w:type="dxa"/>
              <w:left w:w="15" w:type="dxa"/>
              <w:right w:w="15" w:type="dxa"/>
            </w:tcMar>
            <w:vAlign w:val="center"/>
          </w:tcPr>
          <w:p>
            <w:pPr>
              <w:jc w:val="center"/>
              <w:rPr>
                <w:rFonts w:ascii="仿宋_GB2312" w:hAnsi="宋体" w:eastAsia="仿宋_GB2312" w:cs="仿宋_GB2312"/>
                <w:color w:val="auto"/>
                <w:sz w:val="20"/>
                <w:szCs w:val="20"/>
              </w:rPr>
            </w:pPr>
          </w:p>
        </w:tc>
      </w:tr>
    </w:tbl>
    <w:p>
      <w:pPr>
        <w:spacing w:line="400" w:lineRule="exact"/>
        <w:ind w:firstLine="480"/>
        <w:rPr>
          <w:rFonts w:ascii="仿宋_GB2312" w:hAnsi="仿宋_GB2312" w:eastAsia="仿宋_GB2312" w:cs="仿宋_GB2312"/>
          <w:sz w:val="24"/>
          <w:szCs w:val="24"/>
        </w:rPr>
      </w:pPr>
      <w:r>
        <w:rPr>
          <w:rFonts w:hint="eastAsia" w:ascii="黑体" w:hAnsi="黑体" w:eastAsia="黑体" w:cs="黑体"/>
          <w:sz w:val="24"/>
          <w:szCs w:val="24"/>
        </w:rPr>
        <w:t>注：</w:t>
      </w:r>
      <w:r>
        <w:rPr>
          <w:rFonts w:hint="eastAsia" w:ascii="仿宋_GB2312" w:hAnsi="仿宋_GB2312" w:eastAsia="仿宋_GB2312" w:cs="仿宋_GB2312"/>
          <w:sz w:val="24"/>
          <w:szCs w:val="24"/>
        </w:rPr>
        <w:t>1.日常考核按照“一标一评”，</w:t>
      </w:r>
      <w:r>
        <w:rPr>
          <w:rFonts w:hint="eastAsia" w:ascii="仿宋_GB2312" w:hAnsi="宋体" w:eastAsia="仿宋_GB2312" w:cs="仿宋_GB2312"/>
          <w:kern w:val="0"/>
          <w:szCs w:val="21"/>
        </w:rPr>
        <w:t>代理</w:t>
      </w:r>
      <w:r>
        <w:rPr>
          <w:rFonts w:hint="eastAsia" w:ascii="仿宋_GB2312" w:hAnsi="仿宋_GB2312" w:eastAsia="仿宋_GB2312" w:cs="仿宋_GB2312"/>
          <w:sz w:val="24"/>
          <w:szCs w:val="24"/>
        </w:rPr>
        <w:t>机构在实施</w:t>
      </w:r>
      <w:r>
        <w:rPr>
          <w:rFonts w:hint="eastAsia" w:ascii="仿宋_GB2312" w:hAnsi="宋体" w:eastAsia="仿宋_GB2312" w:cs="仿宋_GB2312"/>
          <w:kern w:val="0"/>
          <w:szCs w:val="21"/>
        </w:rPr>
        <w:t>代理</w:t>
      </w:r>
      <w:r>
        <w:rPr>
          <w:rFonts w:hint="eastAsia" w:ascii="仿宋_GB2312" w:hAnsi="仿宋_GB2312" w:eastAsia="仿宋_GB2312" w:cs="仿宋_GB2312"/>
          <w:sz w:val="24"/>
          <w:szCs w:val="24"/>
        </w:rPr>
        <w:t>服务时，发现有违反上述评价标准指标，按代理服务发生事项进行扣分。</w:t>
      </w:r>
    </w:p>
    <w:p>
      <w:pPr>
        <w:spacing w:line="400" w:lineRule="exac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宋体" w:eastAsia="仿宋_GB2312" w:cs="仿宋_GB2312"/>
          <w:kern w:val="0"/>
          <w:szCs w:val="21"/>
        </w:rPr>
        <w:t>代理</w:t>
      </w:r>
      <w:r>
        <w:rPr>
          <w:rFonts w:hint="eastAsia" w:ascii="仿宋_GB2312" w:hAnsi="仿宋_GB2312" w:eastAsia="仿宋_GB2312" w:cs="仿宋_GB2312"/>
          <w:sz w:val="24"/>
          <w:szCs w:val="24"/>
        </w:rPr>
        <w:t>同一项目同一事项发生在不同过程、节点的或同一事项存在多项扣分情形的可重复扣分。</w:t>
      </w:r>
    </w:p>
    <w:p>
      <w:pPr>
        <w:widowControl/>
        <w:snapToGrid w:val="0"/>
        <w:spacing w:line="40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2.日常考核扣分可与奖励加分进行抵扣，基础信息得分和良好行为得分不参与抵扣。</w:t>
      </w:r>
    </w:p>
    <w:p>
      <w:pPr>
        <w:spacing w:line="560" w:lineRule="exact"/>
        <w:jc w:val="left"/>
        <w:outlineLvl w:val="0"/>
        <w:rPr>
          <w:rFonts w:ascii="仿宋" w:hAnsi="仿宋" w:eastAsia="仿宋" w:cs="宋体"/>
          <w:kern w:val="0"/>
          <w:sz w:val="28"/>
          <w:szCs w:val="30"/>
        </w:rPr>
      </w:pPr>
    </w:p>
    <w:sectPr>
      <w:headerReference r:id="rId5" w:type="default"/>
      <w:footerReference r:id="rId6"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_GB2312">
    <w:panose1 w:val="02010609030101010101"/>
    <w:charset w:val="86"/>
    <w:family w:val="roman"/>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cript"/>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仿宋_GB2312" w:hAnsi="仿宋_GB2312" w:eastAsia="仿宋_GB2312" w:cs="仿宋_GB2312"/>
        <w:sz w:val="32"/>
        <w:szCs w:val="32"/>
      </w:rPr>
    </w:pPr>
    <w:r>
      <w:rPr>
        <w:rFonts w:ascii="Calibri" w:hAnsi="Calibri" w:eastAsia="宋体" w:cs="宋体"/>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123825</wp:posOffset>
              </wp:positionV>
              <wp:extent cx="554990" cy="23558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54990" cy="235585"/>
                      </a:xfrm>
                      <a:prstGeom prst="rect">
                        <a:avLst/>
                      </a:prstGeom>
                      <a:noFill/>
                      <a:ln>
                        <a:noFill/>
                      </a:ln>
                      <a:effectLst/>
                    </wps:spPr>
                    <wps:txbx>
                      <w:txbxContent>
                        <w:p>
                          <w:pPr>
                            <w:pStyle w:val="10"/>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- 15 -</w:t>
                          </w:r>
                          <w:r>
                            <w:rPr>
                              <w:rFonts w:hint="eastAsia" w:asciiTheme="minorEastAsia" w:hAnsiTheme="minorEastAsia" w:cstheme="minorEastAsia"/>
                              <w:sz w:val="28"/>
                              <w:szCs w:val="28"/>
                            </w:rPr>
                            <w:fldChar w:fldCharType="end"/>
                          </w:r>
                        </w:p>
                      </w:txbxContent>
                    </wps:txbx>
                    <wps:bodyPr wrap="square" lIns="0" tIns="0" rIns="0" bIns="0" upright="1">
                      <a:noAutofit/>
                    </wps:bodyPr>
                  </wps:wsp>
                </a:graphicData>
              </a:graphic>
            </wp:anchor>
          </w:drawing>
        </mc:Choice>
        <mc:Fallback>
          <w:pict>
            <v:shape id="_x0000_s1026" o:spid="_x0000_s1026" o:spt="202" type="#_x0000_t202" style="position:absolute;left:0pt;margin-top:9.75pt;height:18.55pt;width:43.7pt;mso-position-horizontal:outside;mso-position-horizontal-relative:margin;z-index:251660288;mso-width-relative:page;mso-height-relative:page;" filled="f" stroked="f" coordsize="21600,21600" o:gfxdata="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Jh8mUHVAAAABQEAAA8AAAAAAAAAAQAgAAAAIgAAAGRycy9kb3ducmV2LnhtbFBLAQIUABQA&#10;AAAIAIdO4kB8BAgQugEAAFkDAAAOAAAAAAAAAAEAIAAAACQBAABkcnMvZTJvRG9jLnhtbFBLBQYA&#10;AAAABgAGAFkBAABQBQAAAAA=&#10;">
              <v:fill on="f" focussize="0,0"/>
              <v:stroke on="f"/>
              <v:imagedata o:title=""/>
              <o:lock v:ext="edit" aspectratio="f"/>
              <v:textbox inset="0mm,0mm,0mm,0mm">
                <w:txbxContent>
                  <w:p>
                    <w:pPr>
                      <w:pStyle w:val="10"/>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- 15 -</w:t>
                    </w:r>
                    <w:r>
                      <w:rPr>
                        <w:rFonts w:hint="eastAsia" w:asciiTheme="minorEastAsia" w:hAnsiTheme="minorEastAsia" w:cstheme="minorEastAsia"/>
                        <w:sz w:val="28"/>
                        <w:szCs w:val="28"/>
                      </w:rPr>
                      <w:fldChar w:fldCharType="end"/>
                    </w: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77215" cy="222885"/>
              <wp:effectExtent l="0" t="0" r="0" b="0"/>
              <wp:wrapNone/>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77215" cy="222885"/>
                      </a:xfrm>
                      <a:prstGeom prst="rect">
                        <a:avLst/>
                      </a:prstGeom>
                      <a:noFill/>
                      <a:ln>
                        <a:noFill/>
                      </a:ln>
                      <a:effectLst/>
                    </wps:spPr>
                    <wps:txbx>
                      <w:txbxContent>
                        <w:p>
                          <w:pPr>
                            <w:pStyle w:val="10"/>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35</w:t>
                          </w:r>
                          <w:r>
                            <w:rPr>
                              <w:rFonts w:hint="eastAsia" w:asciiTheme="minorEastAsia" w:hAnsiTheme="minorEastAsia" w:cstheme="minorEastAsia"/>
                              <w:sz w:val="28"/>
                              <w:szCs w:val="28"/>
                            </w:rPr>
                            <w:fldChar w:fldCharType="end"/>
                          </w:r>
                        </w:p>
                      </w:txbxContent>
                    </wps:txbx>
                    <wps:bodyPr rot="0" vert="horz" wrap="square" lIns="0" tIns="0" rIns="0" bIns="0" anchor="t" anchorCtr="0" upright="1">
                      <a:noAutofit/>
                    </wps:bodyPr>
                  </wps:wsp>
                </a:graphicData>
              </a:graphic>
            </wp:anchor>
          </w:drawing>
        </mc:Choice>
        <mc:Fallback>
          <w:pict>
            <v:shape id="文本框 2" o:spid="_x0000_s1026" o:spt="202" type="#_x0000_t202" style="position:absolute;left:0pt;margin-top:0pt;height:17.55pt;width:45.45pt;mso-position-horizontal:outside;mso-position-horizontal-relative:margin;z-index:251660288;mso-width-relative:page;mso-height-relative:page;" filled="f" stroked="f" coordsize="21600,21600" o:gfxdata="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7LLHQ0wAAAAMBAAAPAAAAAAAAAAEAIAAAACIAAABkcnMvZG93bnJldi54bWxQSwECFAAU&#10;AAAACACHTuJA3zceIfYBAADEAwAADgAAAAAAAAABACAAAAAiAQAAZHJzL2Uyb0RvYy54bWxQSwUG&#10;AAAAAAYABgBZAQAAigUAAAAA&#10;">
              <v:fill on="f" focussize="0,0"/>
              <v:stroke on="f"/>
              <v:imagedata o:title=""/>
              <o:lock v:ext="edit" aspectratio="f"/>
              <v:textbox inset="0mm,0mm,0mm,0mm">
                <w:txbxContent>
                  <w:p>
                    <w:pPr>
                      <w:pStyle w:val="10"/>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35</w:t>
                    </w:r>
                    <w:r>
                      <w:rPr>
                        <w:rFonts w:hint="eastAsia" w:asciiTheme="minorEastAsia" w:hAnsiTheme="minorEastAsia" w:cstheme="minorEastAsia"/>
                        <w:sz w:val="28"/>
                        <w:szCs w:val="2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14935" cy="30226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4935" cy="302260"/>
                      </a:xfrm>
                      <a:prstGeom prst="rect">
                        <a:avLst/>
                      </a:prstGeom>
                      <a:noFill/>
                      <a:ln>
                        <a:noFill/>
                      </a:ln>
                      <a:effectLst/>
                    </wps:spPr>
                    <wps:txbx>
                      <w:txbxContent>
                        <w:p>
                          <w:pPr>
                            <w:pStyle w:val="10"/>
                            <w:jc w:val="center"/>
                          </w:pPr>
                        </w:p>
                        <w:p>
                          <w:pP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23.8pt;width:9.05pt;mso-position-horizontal:right;mso-position-horizontal-relative:margin;mso-wrap-style:none;z-index:251659264;mso-width-relative:page;mso-height-relative:page;" filled="f" stroked="f" coordsize="21600,21600" o:gfxdata="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sblidEAAAADAQAADwAAAAAAAAABACAAAAAiAAAAZHJzL2Rvd25yZXYueG1sUEsBAhQAFAAAAAgA&#10;h07iQExmIBHzAQAAwgMAAA4AAAAAAAAAAQAgAAAAIAEAAGRycy9lMm9Eb2MueG1sUEsFBgAAAAAG&#10;AAYAWQEAAIUFAAAAAA==&#10;">
              <v:fill on="f" focussize="0,0"/>
              <v:stroke on="f"/>
              <v:imagedata o:title=""/>
              <o:lock v:ext="edit" aspectratio="f"/>
              <v:textbox inset="0mm,0mm,0mm,0mm" style="mso-fit-shape-to-text:t;">
                <w:txbxContent>
                  <w:p>
                    <w:pPr>
                      <w:pStyle w:val="10"/>
                      <w:jc w:val="center"/>
                    </w:pPr>
                  </w:p>
                  <w:p>
                    <w:pPr/>
                  </w:p>
                </w:txbxContent>
              </v:textbox>
            </v:shape>
          </w:pict>
        </mc:Fallback>
      </mc:AlternateConten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wY2NlNTJlYWMwY2IyOGFkY2MzNjZmMGVmNjJlOWUifQ=="/>
  </w:docVars>
  <w:rsids>
    <w:rsidRoot w:val="004874D7"/>
    <w:rsid w:val="0000553F"/>
    <w:rsid w:val="00007AAD"/>
    <w:rsid w:val="00017383"/>
    <w:rsid w:val="000206E6"/>
    <w:rsid w:val="00042E95"/>
    <w:rsid w:val="0005715E"/>
    <w:rsid w:val="00071B48"/>
    <w:rsid w:val="000753AB"/>
    <w:rsid w:val="00081C44"/>
    <w:rsid w:val="00082B90"/>
    <w:rsid w:val="00083401"/>
    <w:rsid w:val="00086E10"/>
    <w:rsid w:val="00093E8B"/>
    <w:rsid w:val="000A0064"/>
    <w:rsid w:val="000A1234"/>
    <w:rsid w:val="000B3FA2"/>
    <w:rsid w:val="000B4C3F"/>
    <w:rsid w:val="000C498A"/>
    <w:rsid w:val="000E0035"/>
    <w:rsid w:val="000E2C27"/>
    <w:rsid w:val="000E41ED"/>
    <w:rsid w:val="000E67F7"/>
    <w:rsid w:val="000F3AAB"/>
    <w:rsid w:val="001015D5"/>
    <w:rsid w:val="00104D87"/>
    <w:rsid w:val="00105405"/>
    <w:rsid w:val="001162D4"/>
    <w:rsid w:val="00122A49"/>
    <w:rsid w:val="001230F5"/>
    <w:rsid w:val="00133252"/>
    <w:rsid w:val="00133B6A"/>
    <w:rsid w:val="00154A1E"/>
    <w:rsid w:val="00166554"/>
    <w:rsid w:val="0018063B"/>
    <w:rsid w:val="001911D9"/>
    <w:rsid w:val="00194940"/>
    <w:rsid w:val="00197BA3"/>
    <w:rsid w:val="001A2A7F"/>
    <w:rsid w:val="001A5992"/>
    <w:rsid w:val="001D56D5"/>
    <w:rsid w:val="001E0816"/>
    <w:rsid w:val="001F10BE"/>
    <w:rsid w:val="00206069"/>
    <w:rsid w:val="00206FB6"/>
    <w:rsid w:val="002074FA"/>
    <w:rsid w:val="0021230A"/>
    <w:rsid w:val="002139D6"/>
    <w:rsid w:val="00215B20"/>
    <w:rsid w:val="0023185D"/>
    <w:rsid w:val="00237042"/>
    <w:rsid w:val="002533B5"/>
    <w:rsid w:val="00254A8E"/>
    <w:rsid w:val="002843D8"/>
    <w:rsid w:val="00296F10"/>
    <w:rsid w:val="002A2A9B"/>
    <w:rsid w:val="002A57CC"/>
    <w:rsid w:val="002C2631"/>
    <w:rsid w:val="002D5317"/>
    <w:rsid w:val="002E6A75"/>
    <w:rsid w:val="002F3F5C"/>
    <w:rsid w:val="003260A7"/>
    <w:rsid w:val="003317B8"/>
    <w:rsid w:val="0033487B"/>
    <w:rsid w:val="003407F5"/>
    <w:rsid w:val="0034556C"/>
    <w:rsid w:val="00360374"/>
    <w:rsid w:val="0036222F"/>
    <w:rsid w:val="003637C8"/>
    <w:rsid w:val="00367626"/>
    <w:rsid w:val="00395AAE"/>
    <w:rsid w:val="003A21B7"/>
    <w:rsid w:val="003B4533"/>
    <w:rsid w:val="003B7632"/>
    <w:rsid w:val="003C1F5A"/>
    <w:rsid w:val="003D15EA"/>
    <w:rsid w:val="003D7F09"/>
    <w:rsid w:val="003E7A93"/>
    <w:rsid w:val="003F0E97"/>
    <w:rsid w:val="004045E4"/>
    <w:rsid w:val="00404896"/>
    <w:rsid w:val="00407C25"/>
    <w:rsid w:val="004113DF"/>
    <w:rsid w:val="00420162"/>
    <w:rsid w:val="0043146D"/>
    <w:rsid w:val="004356E8"/>
    <w:rsid w:val="00443574"/>
    <w:rsid w:val="00445FB8"/>
    <w:rsid w:val="00455481"/>
    <w:rsid w:val="00466763"/>
    <w:rsid w:val="004705D2"/>
    <w:rsid w:val="004874D7"/>
    <w:rsid w:val="004A566B"/>
    <w:rsid w:val="004A5DD7"/>
    <w:rsid w:val="004C0BD1"/>
    <w:rsid w:val="004E4D7D"/>
    <w:rsid w:val="004E4DC6"/>
    <w:rsid w:val="004E675C"/>
    <w:rsid w:val="004F12C0"/>
    <w:rsid w:val="004F1872"/>
    <w:rsid w:val="004F2ADA"/>
    <w:rsid w:val="00505D32"/>
    <w:rsid w:val="005243A9"/>
    <w:rsid w:val="00524B20"/>
    <w:rsid w:val="00540CE0"/>
    <w:rsid w:val="00556070"/>
    <w:rsid w:val="00575CF1"/>
    <w:rsid w:val="00577DEF"/>
    <w:rsid w:val="00583BDA"/>
    <w:rsid w:val="0058767F"/>
    <w:rsid w:val="00595A8F"/>
    <w:rsid w:val="00595CBF"/>
    <w:rsid w:val="005A099C"/>
    <w:rsid w:val="005A409E"/>
    <w:rsid w:val="005B5B25"/>
    <w:rsid w:val="005C1393"/>
    <w:rsid w:val="005E2513"/>
    <w:rsid w:val="00631931"/>
    <w:rsid w:val="006558EE"/>
    <w:rsid w:val="006645A6"/>
    <w:rsid w:val="006765D0"/>
    <w:rsid w:val="00693F83"/>
    <w:rsid w:val="006956A1"/>
    <w:rsid w:val="006A4BBF"/>
    <w:rsid w:val="006A7FE8"/>
    <w:rsid w:val="006B30CB"/>
    <w:rsid w:val="006C7C1D"/>
    <w:rsid w:val="006E7FB3"/>
    <w:rsid w:val="00701F38"/>
    <w:rsid w:val="00711ADC"/>
    <w:rsid w:val="00720F2B"/>
    <w:rsid w:val="00732135"/>
    <w:rsid w:val="00732C9F"/>
    <w:rsid w:val="00737BB1"/>
    <w:rsid w:val="00751EDC"/>
    <w:rsid w:val="007544D3"/>
    <w:rsid w:val="007722FD"/>
    <w:rsid w:val="00776E4B"/>
    <w:rsid w:val="007811FA"/>
    <w:rsid w:val="0078272B"/>
    <w:rsid w:val="00782CD9"/>
    <w:rsid w:val="00787AEF"/>
    <w:rsid w:val="00793A62"/>
    <w:rsid w:val="007A2908"/>
    <w:rsid w:val="007A35AB"/>
    <w:rsid w:val="007A54E0"/>
    <w:rsid w:val="007A5FB0"/>
    <w:rsid w:val="007B13AA"/>
    <w:rsid w:val="007B16D9"/>
    <w:rsid w:val="007B3343"/>
    <w:rsid w:val="007E258B"/>
    <w:rsid w:val="00806539"/>
    <w:rsid w:val="008119AE"/>
    <w:rsid w:val="008145AD"/>
    <w:rsid w:val="00816921"/>
    <w:rsid w:val="00826B1C"/>
    <w:rsid w:val="00832CA2"/>
    <w:rsid w:val="00833B06"/>
    <w:rsid w:val="00841C5F"/>
    <w:rsid w:val="008458E5"/>
    <w:rsid w:val="0086251D"/>
    <w:rsid w:val="00867B06"/>
    <w:rsid w:val="008813B7"/>
    <w:rsid w:val="00890B65"/>
    <w:rsid w:val="008A6B7C"/>
    <w:rsid w:val="008B425C"/>
    <w:rsid w:val="008B510F"/>
    <w:rsid w:val="008D305E"/>
    <w:rsid w:val="008D73EB"/>
    <w:rsid w:val="008E3222"/>
    <w:rsid w:val="008F5CD6"/>
    <w:rsid w:val="008F756E"/>
    <w:rsid w:val="00902318"/>
    <w:rsid w:val="00913A49"/>
    <w:rsid w:val="00921CF2"/>
    <w:rsid w:val="00930CD6"/>
    <w:rsid w:val="009325D1"/>
    <w:rsid w:val="00942869"/>
    <w:rsid w:val="00943E11"/>
    <w:rsid w:val="00946B1D"/>
    <w:rsid w:val="0095020B"/>
    <w:rsid w:val="0095073D"/>
    <w:rsid w:val="00951A29"/>
    <w:rsid w:val="0096146A"/>
    <w:rsid w:val="009757AA"/>
    <w:rsid w:val="00977E45"/>
    <w:rsid w:val="0098070C"/>
    <w:rsid w:val="009927DA"/>
    <w:rsid w:val="009E6256"/>
    <w:rsid w:val="00A11430"/>
    <w:rsid w:val="00A23389"/>
    <w:rsid w:val="00A26662"/>
    <w:rsid w:val="00A31D69"/>
    <w:rsid w:val="00A36F9D"/>
    <w:rsid w:val="00A37B3C"/>
    <w:rsid w:val="00A435AF"/>
    <w:rsid w:val="00A773B6"/>
    <w:rsid w:val="00A85875"/>
    <w:rsid w:val="00A94A9D"/>
    <w:rsid w:val="00AA69AD"/>
    <w:rsid w:val="00AB0128"/>
    <w:rsid w:val="00AB7D81"/>
    <w:rsid w:val="00AC2CD9"/>
    <w:rsid w:val="00AC3978"/>
    <w:rsid w:val="00AD204B"/>
    <w:rsid w:val="00AD7C34"/>
    <w:rsid w:val="00AE33F2"/>
    <w:rsid w:val="00AF7C11"/>
    <w:rsid w:val="00B06A7D"/>
    <w:rsid w:val="00B0789C"/>
    <w:rsid w:val="00B15B6D"/>
    <w:rsid w:val="00B26216"/>
    <w:rsid w:val="00B37539"/>
    <w:rsid w:val="00B53AD9"/>
    <w:rsid w:val="00B54E36"/>
    <w:rsid w:val="00B71107"/>
    <w:rsid w:val="00BA42AA"/>
    <w:rsid w:val="00BA658C"/>
    <w:rsid w:val="00BB133E"/>
    <w:rsid w:val="00BB6FBA"/>
    <w:rsid w:val="00BB70CB"/>
    <w:rsid w:val="00BC7F73"/>
    <w:rsid w:val="00BD6B00"/>
    <w:rsid w:val="00BF5F5E"/>
    <w:rsid w:val="00C367E8"/>
    <w:rsid w:val="00C41900"/>
    <w:rsid w:val="00C4301B"/>
    <w:rsid w:val="00C477BC"/>
    <w:rsid w:val="00C62123"/>
    <w:rsid w:val="00C836F4"/>
    <w:rsid w:val="00C93BD2"/>
    <w:rsid w:val="00CA23AA"/>
    <w:rsid w:val="00CB4695"/>
    <w:rsid w:val="00CC225C"/>
    <w:rsid w:val="00CD2AB7"/>
    <w:rsid w:val="00CF6FB3"/>
    <w:rsid w:val="00D059FD"/>
    <w:rsid w:val="00D0623F"/>
    <w:rsid w:val="00D14675"/>
    <w:rsid w:val="00D1608D"/>
    <w:rsid w:val="00D179A3"/>
    <w:rsid w:val="00D3372F"/>
    <w:rsid w:val="00D344CD"/>
    <w:rsid w:val="00D458F9"/>
    <w:rsid w:val="00D47121"/>
    <w:rsid w:val="00D51C07"/>
    <w:rsid w:val="00D52F1A"/>
    <w:rsid w:val="00D600FB"/>
    <w:rsid w:val="00D61E79"/>
    <w:rsid w:val="00D62740"/>
    <w:rsid w:val="00D665F4"/>
    <w:rsid w:val="00D678F9"/>
    <w:rsid w:val="00D735FD"/>
    <w:rsid w:val="00D8383F"/>
    <w:rsid w:val="00D92813"/>
    <w:rsid w:val="00DA6A26"/>
    <w:rsid w:val="00DC1473"/>
    <w:rsid w:val="00DD1966"/>
    <w:rsid w:val="00DE2716"/>
    <w:rsid w:val="00DF0FCF"/>
    <w:rsid w:val="00DF1C7F"/>
    <w:rsid w:val="00DF63FE"/>
    <w:rsid w:val="00E000BD"/>
    <w:rsid w:val="00E12BCC"/>
    <w:rsid w:val="00E223C6"/>
    <w:rsid w:val="00E26582"/>
    <w:rsid w:val="00E524D3"/>
    <w:rsid w:val="00E53741"/>
    <w:rsid w:val="00E65C6C"/>
    <w:rsid w:val="00E729AF"/>
    <w:rsid w:val="00E828F0"/>
    <w:rsid w:val="00E845A5"/>
    <w:rsid w:val="00EA11A8"/>
    <w:rsid w:val="00EC551F"/>
    <w:rsid w:val="00ED0E6D"/>
    <w:rsid w:val="00ED5135"/>
    <w:rsid w:val="00F01296"/>
    <w:rsid w:val="00F27555"/>
    <w:rsid w:val="00F32E35"/>
    <w:rsid w:val="00F4205B"/>
    <w:rsid w:val="00F6462E"/>
    <w:rsid w:val="00F6577F"/>
    <w:rsid w:val="00F711F5"/>
    <w:rsid w:val="00F72A42"/>
    <w:rsid w:val="00F72E47"/>
    <w:rsid w:val="00F763B0"/>
    <w:rsid w:val="00F85409"/>
    <w:rsid w:val="00F9138C"/>
    <w:rsid w:val="00F94C1E"/>
    <w:rsid w:val="00FA0946"/>
    <w:rsid w:val="00FB61AD"/>
    <w:rsid w:val="00FB6CBF"/>
    <w:rsid w:val="00FD4DD7"/>
    <w:rsid w:val="00FE0004"/>
    <w:rsid w:val="023C2FEB"/>
    <w:rsid w:val="024D2547"/>
    <w:rsid w:val="024E7A2C"/>
    <w:rsid w:val="0278353C"/>
    <w:rsid w:val="02941118"/>
    <w:rsid w:val="02FF0DA1"/>
    <w:rsid w:val="0327288F"/>
    <w:rsid w:val="03460091"/>
    <w:rsid w:val="036D4516"/>
    <w:rsid w:val="038710DC"/>
    <w:rsid w:val="038B1AB7"/>
    <w:rsid w:val="03B3198D"/>
    <w:rsid w:val="04036BB6"/>
    <w:rsid w:val="042A679B"/>
    <w:rsid w:val="0445297B"/>
    <w:rsid w:val="044B29C5"/>
    <w:rsid w:val="045A5277"/>
    <w:rsid w:val="04940BD4"/>
    <w:rsid w:val="049F684B"/>
    <w:rsid w:val="04A669A3"/>
    <w:rsid w:val="04C36CA2"/>
    <w:rsid w:val="053D0E31"/>
    <w:rsid w:val="057525AE"/>
    <w:rsid w:val="059E58E2"/>
    <w:rsid w:val="05AB584F"/>
    <w:rsid w:val="05C44988"/>
    <w:rsid w:val="05C91657"/>
    <w:rsid w:val="05EE1013"/>
    <w:rsid w:val="05EE48EA"/>
    <w:rsid w:val="0615478C"/>
    <w:rsid w:val="063926D2"/>
    <w:rsid w:val="0645296D"/>
    <w:rsid w:val="06572FEA"/>
    <w:rsid w:val="067576F9"/>
    <w:rsid w:val="067A72C5"/>
    <w:rsid w:val="071D44D3"/>
    <w:rsid w:val="075B3FC1"/>
    <w:rsid w:val="077618DC"/>
    <w:rsid w:val="078868C8"/>
    <w:rsid w:val="079D3664"/>
    <w:rsid w:val="07D73A9E"/>
    <w:rsid w:val="07E117FD"/>
    <w:rsid w:val="08322E90"/>
    <w:rsid w:val="083866F3"/>
    <w:rsid w:val="083C4CE1"/>
    <w:rsid w:val="089957B1"/>
    <w:rsid w:val="08ED7FFC"/>
    <w:rsid w:val="091A4CDA"/>
    <w:rsid w:val="092F6BB3"/>
    <w:rsid w:val="09F158F4"/>
    <w:rsid w:val="0A015D92"/>
    <w:rsid w:val="0A0D0CD3"/>
    <w:rsid w:val="0A8B7F7C"/>
    <w:rsid w:val="0AA92839"/>
    <w:rsid w:val="0AB33CFC"/>
    <w:rsid w:val="0B17404F"/>
    <w:rsid w:val="0B5E5544"/>
    <w:rsid w:val="0BEE3562"/>
    <w:rsid w:val="0CBC1FBC"/>
    <w:rsid w:val="0D243D7C"/>
    <w:rsid w:val="0DBB7A4B"/>
    <w:rsid w:val="0E4F37D0"/>
    <w:rsid w:val="0E54691F"/>
    <w:rsid w:val="0E557D0D"/>
    <w:rsid w:val="0EF62468"/>
    <w:rsid w:val="0F0951F0"/>
    <w:rsid w:val="0F2E1C7E"/>
    <w:rsid w:val="0F6A52E6"/>
    <w:rsid w:val="0F7603C1"/>
    <w:rsid w:val="0F9E4972"/>
    <w:rsid w:val="0FC00100"/>
    <w:rsid w:val="0FDF13FD"/>
    <w:rsid w:val="10D41AA3"/>
    <w:rsid w:val="10E11E26"/>
    <w:rsid w:val="11066293"/>
    <w:rsid w:val="123420DE"/>
    <w:rsid w:val="124903DC"/>
    <w:rsid w:val="129C07F0"/>
    <w:rsid w:val="12AC059B"/>
    <w:rsid w:val="12CB126D"/>
    <w:rsid w:val="12E8284D"/>
    <w:rsid w:val="12EA3D88"/>
    <w:rsid w:val="12EE2282"/>
    <w:rsid w:val="130C5532"/>
    <w:rsid w:val="135837FC"/>
    <w:rsid w:val="13620F67"/>
    <w:rsid w:val="13E13B46"/>
    <w:rsid w:val="142E2659"/>
    <w:rsid w:val="1481080C"/>
    <w:rsid w:val="14BC2B1A"/>
    <w:rsid w:val="14BD54DE"/>
    <w:rsid w:val="14DB0BD6"/>
    <w:rsid w:val="15887C60"/>
    <w:rsid w:val="15F87B80"/>
    <w:rsid w:val="16673C52"/>
    <w:rsid w:val="168C4D93"/>
    <w:rsid w:val="16A94BBA"/>
    <w:rsid w:val="16B16C0B"/>
    <w:rsid w:val="172E2A4F"/>
    <w:rsid w:val="1741257E"/>
    <w:rsid w:val="175D46B9"/>
    <w:rsid w:val="17BB26D3"/>
    <w:rsid w:val="17E8528F"/>
    <w:rsid w:val="182B7CB3"/>
    <w:rsid w:val="182F0DFB"/>
    <w:rsid w:val="18373D5F"/>
    <w:rsid w:val="18376308"/>
    <w:rsid w:val="185D76E0"/>
    <w:rsid w:val="185E6CCC"/>
    <w:rsid w:val="186450E6"/>
    <w:rsid w:val="189D7708"/>
    <w:rsid w:val="18CD0845"/>
    <w:rsid w:val="18D44192"/>
    <w:rsid w:val="18D757DD"/>
    <w:rsid w:val="18E768B2"/>
    <w:rsid w:val="19086C5C"/>
    <w:rsid w:val="190F2ECA"/>
    <w:rsid w:val="19994F45"/>
    <w:rsid w:val="19AB0768"/>
    <w:rsid w:val="19B71F15"/>
    <w:rsid w:val="1A182997"/>
    <w:rsid w:val="1A8A11DC"/>
    <w:rsid w:val="1AB871D6"/>
    <w:rsid w:val="1AEF45D2"/>
    <w:rsid w:val="1B055A76"/>
    <w:rsid w:val="1BD64542"/>
    <w:rsid w:val="1BEB5FA8"/>
    <w:rsid w:val="1C3E4246"/>
    <w:rsid w:val="1C6371DD"/>
    <w:rsid w:val="1CF4380B"/>
    <w:rsid w:val="1D2B54DF"/>
    <w:rsid w:val="1D4E426C"/>
    <w:rsid w:val="1DED15E1"/>
    <w:rsid w:val="1E3F1884"/>
    <w:rsid w:val="1E9C6780"/>
    <w:rsid w:val="1EBB32F7"/>
    <w:rsid w:val="1ECA2527"/>
    <w:rsid w:val="1EE105DF"/>
    <w:rsid w:val="1F36165D"/>
    <w:rsid w:val="1F592799"/>
    <w:rsid w:val="1F9126A9"/>
    <w:rsid w:val="1FED53C1"/>
    <w:rsid w:val="2059708F"/>
    <w:rsid w:val="208A00F4"/>
    <w:rsid w:val="20AF4042"/>
    <w:rsid w:val="20D641B4"/>
    <w:rsid w:val="20EF4A7C"/>
    <w:rsid w:val="211E383E"/>
    <w:rsid w:val="217731D9"/>
    <w:rsid w:val="218D3CE8"/>
    <w:rsid w:val="21CA19D8"/>
    <w:rsid w:val="21E72E3C"/>
    <w:rsid w:val="22C73301"/>
    <w:rsid w:val="22CF74D1"/>
    <w:rsid w:val="232322D9"/>
    <w:rsid w:val="232671FB"/>
    <w:rsid w:val="23437699"/>
    <w:rsid w:val="234A030D"/>
    <w:rsid w:val="235C551D"/>
    <w:rsid w:val="23902F86"/>
    <w:rsid w:val="23E3396A"/>
    <w:rsid w:val="23E5413A"/>
    <w:rsid w:val="23F535C3"/>
    <w:rsid w:val="240E569B"/>
    <w:rsid w:val="24100BF0"/>
    <w:rsid w:val="241B5997"/>
    <w:rsid w:val="242300DD"/>
    <w:rsid w:val="24422416"/>
    <w:rsid w:val="247223F6"/>
    <w:rsid w:val="255E3FA2"/>
    <w:rsid w:val="25F911E6"/>
    <w:rsid w:val="26052269"/>
    <w:rsid w:val="2607633F"/>
    <w:rsid w:val="268F54A2"/>
    <w:rsid w:val="26963512"/>
    <w:rsid w:val="26F2429C"/>
    <w:rsid w:val="26FF6DD8"/>
    <w:rsid w:val="270467B1"/>
    <w:rsid w:val="28316326"/>
    <w:rsid w:val="283C1E97"/>
    <w:rsid w:val="28BE45BE"/>
    <w:rsid w:val="293D4776"/>
    <w:rsid w:val="2992494F"/>
    <w:rsid w:val="29B72CFB"/>
    <w:rsid w:val="2AA53655"/>
    <w:rsid w:val="2B234C92"/>
    <w:rsid w:val="2B4A538A"/>
    <w:rsid w:val="2BA6797F"/>
    <w:rsid w:val="2BAB0B5B"/>
    <w:rsid w:val="2BB3300F"/>
    <w:rsid w:val="2BB45C94"/>
    <w:rsid w:val="2BF6403B"/>
    <w:rsid w:val="2C0B54E2"/>
    <w:rsid w:val="2C1E6389"/>
    <w:rsid w:val="2C2F2862"/>
    <w:rsid w:val="2C347374"/>
    <w:rsid w:val="2C3A7593"/>
    <w:rsid w:val="2C971C8D"/>
    <w:rsid w:val="2CC44A24"/>
    <w:rsid w:val="2CF65EAF"/>
    <w:rsid w:val="2D3D36E6"/>
    <w:rsid w:val="2D421DE4"/>
    <w:rsid w:val="2D795060"/>
    <w:rsid w:val="2D7E5E34"/>
    <w:rsid w:val="2DC65573"/>
    <w:rsid w:val="2DE364BF"/>
    <w:rsid w:val="2DE97C6C"/>
    <w:rsid w:val="2E9350B5"/>
    <w:rsid w:val="2E9416F0"/>
    <w:rsid w:val="2E9D656D"/>
    <w:rsid w:val="2F0C03EF"/>
    <w:rsid w:val="2F2356FD"/>
    <w:rsid w:val="2F444B76"/>
    <w:rsid w:val="2F976812"/>
    <w:rsid w:val="2FD6554A"/>
    <w:rsid w:val="30740859"/>
    <w:rsid w:val="307D31A7"/>
    <w:rsid w:val="30B33DD8"/>
    <w:rsid w:val="30DE700A"/>
    <w:rsid w:val="31A4102F"/>
    <w:rsid w:val="31ED54F0"/>
    <w:rsid w:val="32780427"/>
    <w:rsid w:val="32924300"/>
    <w:rsid w:val="32A71571"/>
    <w:rsid w:val="32E74DA8"/>
    <w:rsid w:val="337B7DC3"/>
    <w:rsid w:val="33DD60CF"/>
    <w:rsid w:val="34456193"/>
    <w:rsid w:val="344A198C"/>
    <w:rsid w:val="344B0FE9"/>
    <w:rsid w:val="3491363A"/>
    <w:rsid w:val="352914A5"/>
    <w:rsid w:val="35BB0BE6"/>
    <w:rsid w:val="35F80504"/>
    <w:rsid w:val="360E0947"/>
    <w:rsid w:val="36C85415"/>
    <w:rsid w:val="370D4064"/>
    <w:rsid w:val="37121298"/>
    <w:rsid w:val="3721059E"/>
    <w:rsid w:val="373001E6"/>
    <w:rsid w:val="37560A09"/>
    <w:rsid w:val="37660296"/>
    <w:rsid w:val="376F2DE6"/>
    <w:rsid w:val="377E71D8"/>
    <w:rsid w:val="37EF0F9B"/>
    <w:rsid w:val="38AD60D3"/>
    <w:rsid w:val="38D47D65"/>
    <w:rsid w:val="38E25ABE"/>
    <w:rsid w:val="38FF36A4"/>
    <w:rsid w:val="39503F0D"/>
    <w:rsid w:val="39516A55"/>
    <w:rsid w:val="39732999"/>
    <w:rsid w:val="39D80D46"/>
    <w:rsid w:val="3A8443FE"/>
    <w:rsid w:val="3AB134BF"/>
    <w:rsid w:val="3AE31072"/>
    <w:rsid w:val="3B2023A2"/>
    <w:rsid w:val="3B354BFB"/>
    <w:rsid w:val="3B6751DB"/>
    <w:rsid w:val="3B7443AB"/>
    <w:rsid w:val="3B755EA0"/>
    <w:rsid w:val="3B7F0C90"/>
    <w:rsid w:val="3B8479D1"/>
    <w:rsid w:val="3BC23C7C"/>
    <w:rsid w:val="3C003710"/>
    <w:rsid w:val="3C093AAC"/>
    <w:rsid w:val="3C7565C7"/>
    <w:rsid w:val="3D113054"/>
    <w:rsid w:val="3D923BC7"/>
    <w:rsid w:val="3DB42D88"/>
    <w:rsid w:val="3DE142B6"/>
    <w:rsid w:val="3E333B56"/>
    <w:rsid w:val="3E39763A"/>
    <w:rsid w:val="3E9C7EB3"/>
    <w:rsid w:val="3EE25229"/>
    <w:rsid w:val="3EF90AD4"/>
    <w:rsid w:val="3F060B83"/>
    <w:rsid w:val="3F293216"/>
    <w:rsid w:val="3F4978A2"/>
    <w:rsid w:val="3F4C1B5B"/>
    <w:rsid w:val="3F795F1E"/>
    <w:rsid w:val="3F903B94"/>
    <w:rsid w:val="3F91561D"/>
    <w:rsid w:val="404A731A"/>
    <w:rsid w:val="408C4F45"/>
    <w:rsid w:val="409A3953"/>
    <w:rsid w:val="40A55B85"/>
    <w:rsid w:val="40AD6739"/>
    <w:rsid w:val="40C770C7"/>
    <w:rsid w:val="40EC74BD"/>
    <w:rsid w:val="41025DB8"/>
    <w:rsid w:val="412972E3"/>
    <w:rsid w:val="41347960"/>
    <w:rsid w:val="41472F8D"/>
    <w:rsid w:val="41D34CD4"/>
    <w:rsid w:val="41DB5490"/>
    <w:rsid w:val="42424BC4"/>
    <w:rsid w:val="43491D23"/>
    <w:rsid w:val="436E6543"/>
    <w:rsid w:val="43A1113B"/>
    <w:rsid w:val="43A3177E"/>
    <w:rsid w:val="43ED075C"/>
    <w:rsid w:val="43F32293"/>
    <w:rsid w:val="440A407F"/>
    <w:rsid w:val="44585F5B"/>
    <w:rsid w:val="44B1149C"/>
    <w:rsid w:val="453301C3"/>
    <w:rsid w:val="45356692"/>
    <w:rsid w:val="457C0E22"/>
    <w:rsid w:val="45A47793"/>
    <w:rsid w:val="45BB3A90"/>
    <w:rsid w:val="45BC50C0"/>
    <w:rsid w:val="46975BB5"/>
    <w:rsid w:val="46C37115"/>
    <w:rsid w:val="46FF096B"/>
    <w:rsid w:val="475E5CBC"/>
    <w:rsid w:val="47C874BA"/>
    <w:rsid w:val="47CB5777"/>
    <w:rsid w:val="47F0112E"/>
    <w:rsid w:val="48026907"/>
    <w:rsid w:val="481C65C6"/>
    <w:rsid w:val="484464A4"/>
    <w:rsid w:val="48AC28A5"/>
    <w:rsid w:val="490F5A5C"/>
    <w:rsid w:val="49144957"/>
    <w:rsid w:val="49207953"/>
    <w:rsid w:val="49EC1738"/>
    <w:rsid w:val="49ED75C0"/>
    <w:rsid w:val="4A0F2625"/>
    <w:rsid w:val="4A351BE6"/>
    <w:rsid w:val="4A3E13F0"/>
    <w:rsid w:val="4A4A4FFD"/>
    <w:rsid w:val="4A7C086A"/>
    <w:rsid w:val="4A825B09"/>
    <w:rsid w:val="4ACA3740"/>
    <w:rsid w:val="4ADC251E"/>
    <w:rsid w:val="4AF16EDA"/>
    <w:rsid w:val="4AFC368E"/>
    <w:rsid w:val="4B1461C1"/>
    <w:rsid w:val="4B7B7AFF"/>
    <w:rsid w:val="4B846A02"/>
    <w:rsid w:val="4B8746FC"/>
    <w:rsid w:val="4BC82DF3"/>
    <w:rsid w:val="4BD70D95"/>
    <w:rsid w:val="4C3B0306"/>
    <w:rsid w:val="4C43356C"/>
    <w:rsid w:val="4C5C597C"/>
    <w:rsid w:val="4C8A56F6"/>
    <w:rsid w:val="4CC22A97"/>
    <w:rsid w:val="4CDE4938"/>
    <w:rsid w:val="4D5E2E0F"/>
    <w:rsid w:val="4D91325E"/>
    <w:rsid w:val="4DAB72D0"/>
    <w:rsid w:val="4E2B32D7"/>
    <w:rsid w:val="4E892209"/>
    <w:rsid w:val="4EAD365D"/>
    <w:rsid w:val="4EC5506E"/>
    <w:rsid w:val="4EE948BD"/>
    <w:rsid w:val="4EF53E49"/>
    <w:rsid w:val="4F105AC3"/>
    <w:rsid w:val="4F153660"/>
    <w:rsid w:val="4F565F5A"/>
    <w:rsid w:val="4FBB2471"/>
    <w:rsid w:val="5018518E"/>
    <w:rsid w:val="50293C4F"/>
    <w:rsid w:val="50626BFB"/>
    <w:rsid w:val="507A6119"/>
    <w:rsid w:val="50812FF3"/>
    <w:rsid w:val="508E10A2"/>
    <w:rsid w:val="50CF398A"/>
    <w:rsid w:val="518743F4"/>
    <w:rsid w:val="518F5D60"/>
    <w:rsid w:val="51FE5814"/>
    <w:rsid w:val="52AB72FB"/>
    <w:rsid w:val="52EE2BE4"/>
    <w:rsid w:val="531F2B18"/>
    <w:rsid w:val="53895C63"/>
    <w:rsid w:val="53AB1C0C"/>
    <w:rsid w:val="53C4687F"/>
    <w:rsid w:val="53FC5084"/>
    <w:rsid w:val="54223B91"/>
    <w:rsid w:val="545A2B8B"/>
    <w:rsid w:val="54675993"/>
    <w:rsid w:val="547F2F78"/>
    <w:rsid w:val="548F5151"/>
    <w:rsid w:val="549F0A85"/>
    <w:rsid w:val="54A159E1"/>
    <w:rsid w:val="54DC469E"/>
    <w:rsid w:val="54EB4CAC"/>
    <w:rsid w:val="5532000B"/>
    <w:rsid w:val="553F6DEE"/>
    <w:rsid w:val="558508A8"/>
    <w:rsid w:val="564552CA"/>
    <w:rsid w:val="564A026D"/>
    <w:rsid w:val="56C962B4"/>
    <w:rsid w:val="5726140A"/>
    <w:rsid w:val="572A3D00"/>
    <w:rsid w:val="573302D0"/>
    <w:rsid w:val="57767FE8"/>
    <w:rsid w:val="57BC5805"/>
    <w:rsid w:val="57D54670"/>
    <w:rsid w:val="57DA7573"/>
    <w:rsid w:val="581A1C65"/>
    <w:rsid w:val="583F3722"/>
    <w:rsid w:val="584F6ACA"/>
    <w:rsid w:val="585F08EF"/>
    <w:rsid w:val="59650471"/>
    <w:rsid w:val="59A719F5"/>
    <w:rsid w:val="59E005D8"/>
    <w:rsid w:val="5A050F80"/>
    <w:rsid w:val="5A512E25"/>
    <w:rsid w:val="5A754DCE"/>
    <w:rsid w:val="5A800179"/>
    <w:rsid w:val="5B1642CE"/>
    <w:rsid w:val="5B926185"/>
    <w:rsid w:val="5BB62083"/>
    <w:rsid w:val="5C193BBE"/>
    <w:rsid w:val="5C5F20DE"/>
    <w:rsid w:val="5C6B035D"/>
    <w:rsid w:val="5CC17983"/>
    <w:rsid w:val="5CC91D93"/>
    <w:rsid w:val="5CE43BC6"/>
    <w:rsid w:val="5D7F4E21"/>
    <w:rsid w:val="5D9D4FD5"/>
    <w:rsid w:val="5DD45993"/>
    <w:rsid w:val="5DED59B8"/>
    <w:rsid w:val="5E417A42"/>
    <w:rsid w:val="5E5505DF"/>
    <w:rsid w:val="5E622B52"/>
    <w:rsid w:val="5EEC6D0E"/>
    <w:rsid w:val="5F871F66"/>
    <w:rsid w:val="5FF8570D"/>
    <w:rsid w:val="60492C76"/>
    <w:rsid w:val="60571E39"/>
    <w:rsid w:val="607C1864"/>
    <w:rsid w:val="60837E9E"/>
    <w:rsid w:val="60BF6468"/>
    <w:rsid w:val="611635B8"/>
    <w:rsid w:val="612C517C"/>
    <w:rsid w:val="61634D03"/>
    <w:rsid w:val="61684D34"/>
    <w:rsid w:val="616D1493"/>
    <w:rsid w:val="61712819"/>
    <w:rsid w:val="61D80350"/>
    <w:rsid w:val="620C3C4B"/>
    <w:rsid w:val="6270565D"/>
    <w:rsid w:val="62964B64"/>
    <w:rsid w:val="62C56C11"/>
    <w:rsid w:val="632526C8"/>
    <w:rsid w:val="63607DD4"/>
    <w:rsid w:val="63680C2A"/>
    <w:rsid w:val="636D0EF8"/>
    <w:rsid w:val="63870195"/>
    <w:rsid w:val="63E40BBA"/>
    <w:rsid w:val="64570E3A"/>
    <w:rsid w:val="64AC060B"/>
    <w:rsid w:val="64EF3337"/>
    <w:rsid w:val="64F60675"/>
    <w:rsid w:val="65887DF9"/>
    <w:rsid w:val="65F32C7A"/>
    <w:rsid w:val="66212023"/>
    <w:rsid w:val="663006D8"/>
    <w:rsid w:val="66996E3A"/>
    <w:rsid w:val="670068A7"/>
    <w:rsid w:val="678560AB"/>
    <w:rsid w:val="678C7867"/>
    <w:rsid w:val="67BA5559"/>
    <w:rsid w:val="67BC246D"/>
    <w:rsid w:val="67CE106B"/>
    <w:rsid w:val="68091144"/>
    <w:rsid w:val="682C3B53"/>
    <w:rsid w:val="685828ED"/>
    <w:rsid w:val="686F4D2C"/>
    <w:rsid w:val="68A83EAE"/>
    <w:rsid w:val="690F3F30"/>
    <w:rsid w:val="69215870"/>
    <w:rsid w:val="6932628D"/>
    <w:rsid w:val="69872301"/>
    <w:rsid w:val="699758B3"/>
    <w:rsid w:val="6A6423E7"/>
    <w:rsid w:val="6A7B707A"/>
    <w:rsid w:val="6AFE746C"/>
    <w:rsid w:val="6B5A1C7D"/>
    <w:rsid w:val="6B822D69"/>
    <w:rsid w:val="6BB424BC"/>
    <w:rsid w:val="6BBE16CA"/>
    <w:rsid w:val="6C27001E"/>
    <w:rsid w:val="6C365BCA"/>
    <w:rsid w:val="6C37111D"/>
    <w:rsid w:val="6CE077DA"/>
    <w:rsid w:val="6D3F5743"/>
    <w:rsid w:val="6D5D68D6"/>
    <w:rsid w:val="6D9833DF"/>
    <w:rsid w:val="6DB21457"/>
    <w:rsid w:val="6DBC081E"/>
    <w:rsid w:val="6DDC2B9B"/>
    <w:rsid w:val="6DDD6A2D"/>
    <w:rsid w:val="6E3C3F8A"/>
    <w:rsid w:val="6E443BAD"/>
    <w:rsid w:val="6E98216D"/>
    <w:rsid w:val="6EA51DB2"/>
    <w:rsid w:val="6F101A5C"/>
    <w:rsid w:val="6F2D5986"/>
    <w:rsid w:val="6F3A14A1"/>
    <w:rsid w:val="6F850F2E"/>
    <w:rsid w:val="6FBE41AA"/>
    <w:rsid w:val="7001125C"/>
    <w:rsid w:val="70420A44"/>
    <w:rsid w:val="70505ACA"/>
    <w:rsid w:val="70862567"/>
    <w:rsid w:val="709152EA"/>
    <w:rsid w:val="70C30F20"/>
    <w:rsid w:val="70D749DB"/>
    <w:rsid w:val="711B1BE2"/>
    <w:rsid w:val="71222BB0"/>
    <w:rsid w:val="715933FB"/>
    <w:rsid w:val="720A3074"/>
    <w:rsid w:val="722F03EF"/>
    <w:rsid w:val="729D4358"/>
    <w:rsid w:val="729E31AD"/>
    <w:rsid w:val="72BD76DF"/>
    <w:rsid w:val="72D82475"/>
    <w:rsid w:val="72FB01FF"/>
    <w:rsid w:val="73257DA3"/>
    <w:rsid w:val="73833A9B"/>
    <w:rsid w:val="73C72A28"/>
    <w:rsid w:val="73E82A70"/>
    <w:rsid w:val="73F159EB"/>
    <w:rsid w:val="73F70CA6"/>
    <w:rsid w:val="74E6140F"/>
    <w:rsid w:val="74EF6F90"/>
    <w:rsid w:val="75C2741B"/>
    <w:rsid w:val="75F6492B"/>
    <w:rsid w:val="76317C7C"/>
    <w:rsid w:val="76B04240"/>
    <w:rsid w:val="76DA084D"/>
    <w:rsid w:val="775415C4"/>
    <w:rsid w:val="775C4F11"/>
    <w:rsid w:val="77760010"/>
    <w:rsid w:val="77814914"/>
    <w:rsid w:val="780D3EB5"/>
    <w:rsid w:val="780D7A17"/>
    <w:rsid w:val="78182587"/>
    <w:rsid w:val="78414C61"/>
    <w:rsid w:val="78630643"/>
    <w:rsid w:val="788A1659"/>
    <w:rsid w:val="788E11F2"/>
    <w:rsid w:val="78AF1D79"/>
    <w:rsid w:val="792E693C"/>
    <w:rsid w:val="799F45E8"/>
    <w:rsid w:val="79A56AD7"/>
    <w:rsid w:val="79B84557"/>
    <w:rsid w:val="79FD50DE"/>
    <w:rsid w:val="7A060606"/>
    <w:rsid w:val="7A286C44"/>
    <w:rsid w:val="7A311E96"/>
    <w:rsid w:val="7A7E3AE0"/>
    <w:rsid w:val="7ADA69C5"/>
    <w:rsid w:val="7AE07CCB"/>
    <w:rsid w:val="7B0F5B20"/>
    <w:rsid w:val="7B601531"/>
    <w:rsid w:val="7B8E5470"/>
    <w:rsid w:val="7B954C54"/>
    <w:rsid w:val="7BC949AD"/>
    <w:rsid w:val="7C64277D"/>
    <w:rsid w:val="7D1E716F"/>
    <w:rsid w:val="7D564154"/>
    <w:rsid w:val="7D6415CB"/>
    <w:rsid w:val="7D984CEF"/>
    <w:rsid w:val="7DA34735"/>
    <w:rsid w:val="7DE535AA"/>
    <w:rsid w:val="7E48486D"/>
    <w:rsid w:val="7ED833AA"/>
    <w:rsid w:val="7ED84CCC"/>
    <w:rsid w:val="7F2A2657"/>
    <w:rsid w:val="7F88102B"/>
    <w:rsid w:val="7FEA1CF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qFormat="1" w:uiPriority="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0" w:name="HTML Acronym"/>
    <w:lsdException w:uiPriority="99" w:name="HTML Address"/>
    <w:lsdException w:qFormat="1" w:uiPriority="0" w:name="HTML Cite"/>
    <w:lsdException w:qFormat="1" w:uiPriority="0" w:name="HTML Code"/>
    <w:lsdException w:qFormat="1" w:uiPriority="0" w:name="HTML Definition"/>
    <w:lsdException w:qFormat="1" w:uiPriority="0" w:name="HTML Keyboard"/>
    <w:lsdException w:uiPriority="99" w:name="HTML Preformatted"/>
    <w:lsdException w:qFormat="1" w:uiPriority="0" w:name="HTML Sample"/>
    <w:lsdException w:qFormat="1" w:uiPriority="0" w:name="HTML Typewriter"/>
    <w:lsdException w:qFormat="1" w:uiPriority="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20"/>
    <w:qFormat/>
    <w:uiPriority w:val="0"/>
    <w:pPr>
      <w:keepNext/>
      <w:keepLines/>
      <w:spacing w:line="576" w:lineRule="auto"/>
      <w:outlineLvl w:val="0"/>
    </w:pPr>
    <w:rPr>
      <w:rFonts w:ascii="Calibri" w:hAnsi="Calibri" w:eastAsia="宋体" w:cs="宋体"/>
      <w:b/>
      <w:kern w:val="44"/>
      <w:sz w:val="44"/>
    </w:rPr>
  </w:style>
  <w:style w:type="character" w:default="1" w:styleId="13">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ind w:left="420" w:firstLine="420" w:firstLineChars="200"/>
    </w:pPr>
  </w:style>
  <w:style w:type="paragraph" w:styleId="3">
    <w:name w:val="Body Text Indent"/>
    <w:basedOn w:val="1"/>
    <w:next w:val="4"/>
    <w:unhideWhenUsed/>
    <w:qFormat/>
    <w:uiPriority w:val="99"/>
    <w:pPr>
      <w:spacing w:after="120"/>
      <w:ind w:left="200" w:leftChars="200"/>
    </w:pPr>
  </w:style>
  <w:style w:type="paragraph" w:styleId="4">
    <w:name w:val="envelope return"/>
    <w:basedOn w:val="1"/>
    <w:unhideWhenUsed/>
    <w:qFormat/>
    <w:uiPriority w:val="99"/>
    <w:pPr>
      <w:snapToGrid w:val="0"/>
    </w:pPr>
    <w:rPr>
      <w:rFonts w:ascii="Arial" w:hAnsi="Arial"/>
    </w:rPr>
  </w:style>
  <w:style w:type="paragraph" w:styleId="6">
    <w:name w:val="annotation subject"/>
    <w:basedOn w:val="7"/>
    <w:next w:val="7"/>
    <w:link w:val="23"/>
    <w:qFormat/>
    <w:uiPriority w:val="0"/>
    <w:rPr>
      <w:b/>
      <w:bCs/>
    </w:rPr>
  </w:style>
  <w:style w:type="paragraph" w:styleId="7">
    <w:name w:val="annotation text"/>
    <w:basedOn w:val="1"/>
    <w:link w:val="21"/>
    <w:qFormat/>
    <w:uiPriority w:val="0"/>
    <w:pPr>
      <w:jc w:val="left"/>
    </w:pPr>
    <w:rPr>
      <w:rFonts w:ascii="Calibri" w:hAnsi="Calibri" w:eastAsia="宋体" w:cs="宋体"/>
    </w:rPr>
  </w:style>
  <w:style w:type="paragraph" w:styleId="8">
    <w:name w:val="Plain Text"/>
    <w:basedOn w:val="1"/>
    <w:link w:val="22"/>
    <w:qFormat/>
    <w:uiPriority w:val="0"/>
    <w:rPr>
      <w:rFonts w:ascii="宋体" w:hAnsi="Courier New" w:eastAsia="宋体" w:cs="Courier New"/>
      <w:szCs w:val="21"/>
    </w:rPr>
  </w:style>
  <w:style w:type="paragraph" w:styleId="9">
    <w:name w:val="Balloon Text"/>
    <w:basedOn w:val="1"/>
    <w:link w:val="19"/>
    <w:unhideWhenUsed/>
    <w:qFormat/>
    <w:uiPriority w:val="0"/>
    <w:rPr>
      <w:sz w:val="18"/>
      <w:szCs w:val="18"/>
    </w:rPr>
  </w:style>
  <w:style w:type="paragraph" w:styleId="10">
    <w:name w:val="footer"/>
    <w:basedOn w:val="1"/>
    <w:link w:val="18"/>
    <w:unhideWhenUsed/>
    <w:qFormat/>
    <w:uiPriority w:val="99"/>
    <w:pPr>
      <w:tabs>
        <w:tab w:val="center" w:pos="4153"/>
        <w:tab w:val="right" w:pos="8306"/>
      </w:tabs>
      <w:snapToGrid w:val="0"/>
      <w:jc w:val="left"/>
    </w:pPr>
    <w:rPr>
      <w:sz w:val="18"/>
      <w:szCs w:val="18"/>
    </w:rPr>
  </w:style>
  <w:style w:type="paragraph" w:styleId="11">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Autospacing="1" w:afterAutospacing="1"/>
      <w:jc w:val="left"/>
    </w:pPr>
    <w:rPr>
      <w:rFonts w:cs="Times New Roman"/>
      <w:kern w:val="0"/>
      <w:sz w:val="24"/>
      <w:szCs w:val="24"/>
    </w:rPr>
  </w:style>
  <w:style w:type="character" w:styleId="14">
    <w:name w:val="Strong"/>
    <w:basedOn w:val="13"/>
    <w:qFormat/>
    <w:uiPriority w:val="0"/>
    <w:rPr>
      <w:b/>
      <w:bCs/>
    </w:rPr>
  </w:style>
  <w:style w:type="character" w:styleId="15">
    <w:name w:val="annotation reference"/>
    <w:basedOn w:val="13"/>
    <w:unhideWhenUsed/>
    <w:qFormat/>
    <w:uiPriority w:val="0"/>
    <w:rPr>
      <w:sz w:val="21"/>
      <w:szCs w:val="21"/>
    </w:rPr>
  </w:style>
  <w:style w:type="character" w:customStyle="1" w:styleId="17">
    <w:name w:val="页眉 Char"/>
    <w:basedOn w:val="13"/>
    <w:link w:val="11"/>
    <w:qFormat/>
    <w:uiPriority w:val="0"/>
    <w:rPr>
      <w:sz w:val="18"/>
      <w:szCs w:val="18"/>
    </w:rPr>
  </w:style>
  <w:style w:type="character" w:customStyle="1" w:styleId="18">
    <w:name w:val="页脚 Char"/>
    <w:basedOn w:val="13"/>
    <w:link w:val="10"/>
    <w:qFormat/>
    <w:uiPriority w:val="99"/>
    <w:rPr>
      <w:sz w:val="18"/>
      <w:szCs w:val="18"/>
    </w:rPr>
  </w:style>
  <w:style w:type="character" w:customStyle="1" w:styleId="19">
    <w:name w:val="批注框文本 Char"/>
    <w:basedOn w:val="13"/>
    <w:link w:val="9"/>
    <w:qFormat/>
    <w:uiPriority w:val="0"/>
    <w:rPr>
      <w:sz w:val="18"/>
      <w:szCs w:val="18"/>
    </w:rPr>
  </w:style>
  <w:style w:type="character" w:customStyle="1" w:styleId="20">
    <w:name w:val="标题 1 Char"/>
    <w:basedOn w:val="13"/>
    <w:link w:val="5"/>
    <w:qFormat/>
    <w:uiPriority w:val="0"/>
    <w:rPr>
      <w:rFonts w:ascii="Calibri" w:hAnsi="Calibri" w:eastAsia="宋体" w:cs="宋体"/>
      <w:b/>
      <w:kern w:val="44"/>
      <w:sz w:val="44"/>
    </w:rPr>
  </w:style>
  <w:style w:type="character" w:customStyle="1" w:styleId="21">
    <w:name w:val="批注文字 Char"/>
    <w:basedOn w:val="13"/>
    <w:link w:val="7"/>
    <w:qFormat/>
    <w:uiPriority w:val="0"/>
    <w:rPr>
      <w:rFonts w:ascii="Calibri" w:hAnsi="Calibri" w:eastAsia="宋体" w:cs="宋体"/>
    </w:rPr>
  </w:style>
  <w:style w:type="character" w:customStyle="1" w:styleId="22">
    <w:name w:val="纯文本 Char"/>
    <w:basedOn w:val="13"/>
    <w:link w:val="8"/>
    <w:qFormat/>
    <w:uiPriority w:val="0"/>
    <w:rPr>
      <w:rFonts w:ascii="宋体" w:hAnsi="Courier New" w:eastAsia="宋体" w:cs="Courier New"/>
      <w:szCs w:val="21"/>
    </w:rPr>
  </w:style>
  <w:style w:type="character" w:customStyle="1" w:styleId="23">
    <w:name w:val="批注主题 Char"/>
    <w:basedOn w:val="21"/>
    <w:link w:val="6"/>
    <w:qFormat/>
    <w:uiPriority w:val="0"/>
    <w:rPr>
      <w:rFonts w:ascii="Calibri" w:hAnsi="Calibri" w:eastAsia="宋体" w:cs="宋体"/>
      <w:b/>
      <w:bCs/>
    </w:rPr>
  </w:style>
  <w:style w:type="paragraph" w:customStyle="1" w:styleId="24">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6F1C66-5260-431C-936B-9228C11E8D3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25</Pages>
  <Words>12045</Words>
  <Characters>12284</Characters>
  <Lines>96</Lines>
  <Paragraphs>27</Paragraphs>
  <ScaleCrop>false</ScaleCrop>
  <LinksUpToDate>false</LinksUpToDate>
  <CharactersWithSpaces>12552</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2021-11-10T00:57:00Z</dcterms:created>
  <dc:creator>NTKO</dc:creator>
  <cp:lastModifiedBy>程海林</cp:lastModifiedBy>
  <cp:lastPrinted>2022-12-06T08:00:00Z</cp:lastPrinted>
  <dcterms:modified xsi:type="dcterms:W3CDTF">2023-11-15T13:34:18Z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CC9FCD4F683142DE9399A85C9E820681</vt:lpwstr>
  </property>
</Properties>
</file>