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A4" w:rsidRPr="006E40E0" w:rsidRDefault="002D6FA4" w:rsidP="002D6FA4">
      <w:pPr>
        <w:spacing w:line="700" w:lineRule="exact"/>
        <w:ind w:right="608" w:firstLineChars="1604" w:firstLine="4872"/>
        <w:rPr>
          <w:rFonts w:ascii="楷体_GB2312" w:eastAsia="楷体_GB2312" w:hint="eastAsia"/>
        </w:rPr>
      </w:pPr>
    </w:p>
    <w:p w:rsidR="002D6FA4" w:rsidRDefault="002D6FA4" w:rsidP="002D6FA4">
      <w:pPr>
        <w:spacing w:line="540" w:lineRule="exact"/>
        <w:jc w:val="center"/>
        <w:rPr>
          <w:rFonts w:eastAsia="宋体" w:hint="eastAsia"/>
          <w:b/>
          <w:bCs/>
          <w:sz w:val="44"/>
          <w:szCs w:val="44"/>
        </w:rPr>
      </w:pPr>
      <w:r w:rsidRPr="004E37B7">
        <w:rPr>
          <w:rFonts w:eastAsia="宋体" w:hint="eastAsia"/>
          <w:b/>
          <w:bCs/>
          <w:sz w:val="44"/>
          <w:szCs w:val="44"/>
        </w:rPr>
        <w:t>滁州市人民政府办公室关于印发滁州市</w:t>
      </w:r>
    </w:p>
    <w:p w:rsidR="002D6FA4" w:rsidRPr="004E37B7" w:rsidRDefault="002D6FA4" w:rsidP="002D6FA4">
      <w:pPr>
        <w:spacing w:line="540" w:lineRule="exact"/>
        <w:jc w:val="center"/>
        <w:rPr>
          <w:rFonts w:eastAsia="宋体" w:hint="eastAsia"/>
          <w:b/>
          <w:bCs/>
          <w:sz w:val="44"/>
          <w:szCs w:val="44"/>
        </w:rPr>
      </w:pPr>
      <w:r w:rsidRPr="004E37B7">
        <w:rPr>
          <w:rFonts w:eastAsia="宋体" w:hint="eastAsia"/>
          <w:b/>
          <w:bCs/>
          <w:sz w:val="44"/>
          <w:szCs w:val="44"/>
        </w:rPr>
        <w:t>公共资源进场交易目录（</w:t>
      </w:r>
      <w:r w:rsidRPr="004E37B7">
        <w:rPr>
          <w:rFonts w:eastAsia="宋体" w:hint="eastAsia"/>
          <w:b/>
          <w:bCs/>
          <w:sz w:val="44"/>
          <w:szCs w:val="44"/>
        </w:rPr>
        <w:t>2020</w:t>
      </w:r>
      <w:r w:rsidRPr="004E37B7">
        <w:rPr>
          <w:rFonts w:eastAsia="宋体" w:hint="eastAsia"/>
          <w:b/>
          <w:bCs/>
          <w:sz w:val="44"/>
          <w:szCs w:val="44"/>
        </w:rPr>
        <w:t>年版）的通知</w:t>
      </w:r>
    </w:p>
    <w:p w:rsidR="002D6FA4" w:rsidRDefault="002D6FA4" w:rsidP="002D6FA4">
      <w:pPr>
        <w:spacing w:line="540" w:lineRule="exact"/>
        <w:rPr>
          <w:rFonts w:hint="eastAsia"/>
        </w:rPr>
      </w:pPr>
    </w:p>
    <w:p w:rsidR="002D6FA4" w:rsidRDefault="002D6FA4" w:rsidP="002D6FA4">
      <w:pPr>
        <w:spacing w:line="540" w:lineRule="exact"/>
        <w:rPr>
          <w:rFonts w:hint="eastAsia"/>
        </w:rPr>
      </w:pPr>
      <w:r>
        <w:rPr>
          <w:rFonts w:hint="eastAsia"/>
        </w:rPr>
        <w:t>各县、市、区人民政府，市政府各部门、各直属机构：</w:t>
      </w:r>
    </w:p>
    <w:p w:rsidR="002D6FA4" w:rsidRDefault="002D6FA4" w:rsidP="002D6FA4">
      <w:pPr>
        <w:spacing w:line="540" w:lineRule="exact"/>
        <w:ind w:firstLineChars="200" w:firstLine="607"/>
        <w:rPr>
          <w:rFonts w:hint="eastAsia"/>
        </w:rPr>
      </w:pPr>
      <w:r>
        <w:rPr>
          <w:rFonts w:hint="eastAsia"/>
        </w:rPr>
        <w:t>根据《中华人民共和国政府采购法》《中华人民共和国招标投标法》《全国公共资源交易目录指引》《安徽省</w:t>
      </w:r>
      <w:r>
        <w:rPr>
          <w:rFonts w:hint="eastAsia"/>
        </w:rPr>
        <w:t>2020-2021</w:t>
      </w:r>
      <w:r>
        <w:rPr>
          <w:rFonts w:hint="eastAsia"/>
        </w:rPr>
        <w:t>年政府集中采购目录及标准》《滁州市公共资源交易监督管理办法》等有关要求，经市政府同意，现将《滁州市公共资源进场交易目录（</w:t>
      </w:r>
      <w:r>
        <w:rPr>
          <w:rFonts w:hint="eastAsia"/>
        </w:rPr>
        <w:t>2020</w:t>
      </w:r>
      <w:r>
        <w:rPr>
          <w:rFonts w:hint="eastAsia"/>
        </w:rPr>
        <w:t>年版）》（以下简称《目录》）印发给你们，并就有关事项通知如下：</w:t>
      </w:r>
    </w:p>
    <w:p w:rsidR="002D6FA4" w:rsidRDefault="002D6FA4" w:rsidP="002D6FA4">
      <w:pPr>
        <w:spacing w:line="540" w:lineRule="exact"/>
        <w:ind w:firstLineChars="200" w:firstLine="607"/>
        <w:rPr>
          <w:rFonts w:hint="eastAsia"/>
        </w:rPr>
      </w:pPr>
      <w:r>
        <w:rPr>
          <w:rFonts w:hint="eastAsia"/>
        </w:rPr>
        <w:t>一、本《目录》范围内的公共资源交易项目，达到进场限额标准的，应当按照项目属地原则进入市县两级公共资源交易平台交易。法律法规和政策另有规定的，从其规定。</w:t>
      </w:r>
    </w:p>
    <w:p w:rsidR="002D6FA4" w:rsidRDefault="002D6FA4" w:rsidP="002D6FA4">
      <w:pPr>
        <w:spacing w:line="540" w:lineRule="exact"/>
        <w:ind w:firstLineChars="200" w:firstLine="607"/>
        <w:rPr>
          <w:rFonts w:hint="eastAsia"/>
        </w:rPr>
      </w:pPr>
      <w:r>
        <w:rPr>
          <w:rFonts w:hint="eastAsia"/>
        </w:rPr>
        <w:t>二、工程建设项目达到必须招标标准的，按照《中华人民共和国招标投标法》《中华人民共和国招标投标法实施条例》有关规定执行。达到进场限额标准，但未达到必须招标标准的，项目单位可以依法自主选择采购方式；涉及政府采购的，按照政府采购法律法规规定执行。</w:t>
      </w:r>
    </w:p>
    <w:p w:rsidR="002D6FA4" w:rsidRDefault="002D6FA4" w:rsidP="002D6FA4">
      <w:pPr>
        <w:spacing w:line="540" w:lineRule="exact"/>
        <w:ind w:firstLineChars="200" w:firstLine="607"/>
        <w:rPr>
          <w:rFonts w:hint="eastAsia"/>
        </w:rPr>
      </w:pPr>
      <w:r>
        <w:rPr>
          <w:rFonts w:hint="eastAsia"/>
        </w:rPr>
        <w:t>三、政府采购项目达到公开招标数额标准的，按照《中华人民共和国政府采购法》《中华人民共和国政府采购法实施条例》有关规定执行。达到进场限额标准，但未达到公开招标数额标准的，优先通过网上商城采购；网上商城采购无法满足其采购需求的，采购人根据采购项目特点选择合适的政府采购方式进行采购。</w:t>
      </w:r>
    </w:p>
    <w:p w:rsidR="002D6FA4" w:rsidRDefault="002D6FA4" w:rsidP="002D6FA4">
      <w:pPr>
        <w:spacing w:line="540" w:lineRule="exact"/>
        <w:ind w:firstLineChars="200" w:firstLine="607"/>
        <w:rPr>
          <w:rFonts w:hint="eastAsia"/>
        </w:rPr>
      </w:pPr>
      <w:r>
        <w:rPr>
          <w:rFonts w:hint="eastAsia"/>
        </w:rPr>
        <w:lastRenderedPageBreak/>
        <w:t>四、涉及国家安全、国家秘密的项目，达到进场限额标准的，应当提交项目审批部门同级的国家安全机关或保密机关出具的认定意见，按相关审批权限作出核准后，由项目单位委托具有保密资质的代理机构采购或自行组织采购。</w:t>
      </w:r>
    </w:p>
    <w:p w:rsidR="002D6FA4" w:rsidRDefault="002D6FA4" w:rsidP="002D6FA4">
      <w:pPr>
        <w:spacing w:line="540" w:lineRule="exact"/>
        <w:ind w:firstLineChars="200" w:firstLine="607"/>
        <w:rPr>
          <w:rFonts w:hint="eastAsia"/>
        </w:rPr>
      </w:pPr>
      <w:r>
        <w:rPr>
          <w:rFonts w:hint="eastAsia"/>
        </w:rPr>
        <w:t>五、列入本《目录》的项目，由各行业主管部门督促项目单位进场交易。</w:t>
      </w:r>
    </w:p>
    <w:p w:rsidR="002D6FA4" w:rsidRDefault="002D6FA4" w:rsidP="002D6FA4">
      <w:pPr>
        <w:spacing w:line="540" w:lineRule="exact"/>
        <w:ind w:firstLineChars="200" w:firstLine="607"/>
        <w:rPr>
          <w:rFonts w:hint="eastAsia"/>
        </w:rPr>
      </w:pPr>
      <w:r>
        <w:rPr>
          <w:rFonts w:hint="eastAsia"/>
        </w:rPr>
        <w:t>凡列入本《目录》的各类公共资源项目未进场交易的，或者将项目化整为零以及采取其他方式规避进场交易的，公共资源交易监督管理部门将依法予以处理。</w:t>
      </w:r>
    </w:p>
    <w:p w:rsidR="002D6FA4" w:rsidRDefault="002D6FA4" w:rsidP="002D6FA4">
      <w:pPr>
        <w:spacing w:line="540" w:lineRule="exact"/>
        <w:ind w:firstLineChars="200" w:firstLine="607"/>
        <w:rPr>
          <w:rFonts w:hint="eastAsia"/>
        </w:rPr>
      </w:pPr>
      <w:r>
        <w:rPr>
          <w:rFonts w:hint="eastAsia"/>
        </w:rPr>
        <w:t>六、本通知“达到”包含本数，“未达到”不包含本数。</w:t>
      </w:r>
    </w:p>
    <w:p w:rsidR="002D6FA4" w:rsidRPr="008A2281" w:rsidRDefault="002D6FA4" w:rsidP="002D6FA4">
      <w:pPr>
        <w:spacing w:line="540" w:lineRule="exact"/>
        <w:ind w:firstLineChars="200" w:firstLine="607"/>
        <w:rPr>
          <w:rFonts w:hint="eastAsia"/>
          <w:spacing w:val="-4"/>
        </w:rPr>
      </w:pPr>
      <w:r>
        <w:rPr>
          <w:rFonts w:hint="eastAsia"/>
        </w:rPr>
        <w:t>七、本通知自印发之日起执行。</w:t>
      </w:r>
      <w:r>
        <w:rPr>
          <w:rFonts w:hint="eastAsia"/>
        </w:rPr>
        <w:t>2018</w:t>
      </w:r>
      <w:r>
        <w:rPr>
          <w:rFonts w:hint="eastAsia"/>
        </w:rPr>
        <w:t>年</w:t>
      </w:r>
      <w:r>
        <w:rPr>
          <w:rFonts w:hint="eastAsia"/>
        </w:rPr>
        <w:t>9</w:t>
      </w:r>
      <w:r>
        <w:rPr>
          <w:rFonts w:hint="eastAsia"/>
        </w:rPr>
        <w:t>月</w:t>
      </w:r>
      <w:r>
        <w:rPr>
          <w:rFonts w:hint="eastAsia"/>
        </w:rPr>
        <w:t>7</w:t>
      </w:r>
      <w:r>
        <w:rPr>
          <w:rFonts w:hint="eastAsia"/>
        </w:rPr>
        <w:t>日印发的《滁</w:t>
      </w:r>
      <w:r w:rsidRPr="008A2281">
        <w:rPr>
          <w:rFonts w:hint="eastAsia"/>
          <w:spacing w:val="-4"/>
        </w:rPr>
        <w:t>州市公共资源进场交易目录》（滁政办秘〔</w:t>
      </w:r>
      <w:r w:rsidRPr="008A2281">
        <w:rPr>
          <w:rFonts w:hint="eastAsia"/>
          <w:spacing w:val="-4"/>
        </w:rPr>
        <w:t>2018</w:t>
      </w:r>
      <w:r w:rsidRPr="008A2281">
        <w:rPr>
          <w:rFonts w:hint="eastAsia"/>
          <w:spacing w:val="-4"/>
        </w:rPr>
        <w:t>〕</w:t>
      </w:r>
      <w:r w:rsidRPr="008A2281">
        <w:rPr>
          <w:rFonts w:hint="eastAsia"/>
          <w:spacing w:val="-4"/>
        </w:rPr>
        <w:t>138</w:t>
      </w:r>
      <w:r w:rsidRPr="008A2281">
        <w:rPr>
          <w:rFonts w:hint="eastAsia"/>
          <w:spacing w:val="-4"/>
        </w:rPr>
        <w:t>号）同时废止。</w:t>
      </w:r>
    </w:p>
    <w:p w:rsidR="002D6FA4" w:rsidRDefault="002D6FA4" w:rsidP="002D6FA4">
      <w:pPr>
        <w:spacing w:line="540" w:lineRule="exact"/>
        <w:ind w:firstLineChars="200" w:firstLine="607"/>
        <w:rPr>
          <w:rFonts w:hint="eastAsia"/>
        </w:rPr>
      </w:pPr>
      <w:r>
        <w:rPr>
          <w:rFonts w:hint="eastAsia"/>
        </w:rPr>
        <w:t>八、各县（市、区）遵照执行。</w:t>
      </w:r>
    </w:p>
    <w:p w:rsidR="002D6FA4" w:rsidRDefault="002D6FA4" w:rsidP="002D6FA4">
      <w:pPr>
        <w:spacing w:line="540" w:lineRule="exact"/>
        <w:ind w:firstLineChars="200" w:firstLine="607"/>
      </w:pPr>
    </w:p>
    <w:p w:rsidR="002D6FA4" w:rsidRDefault="002D6FA4" w:rsidP="002D6FA4">
      <w:pPr>
        <w:spacing w:line="540" w:lineRule="exact"/>
        <w:ind w:firstLineChars="200" w:firstLine="607"/>
        <w:rPr>
          <w:rFonts w:hint="eastAsia"/>
        </w:rPr>
      </w:pPr>
    </w:p>
    <w:p w:rsidR="002D6FA4" w:rsidRDefault="002D6FA4" w:rsidP="002D6FA4">
      <w:pPr>
        <w:spacing w:line="540" w:lineRule="exact"/>
        <w:ind w:rightChars="419" w:right="1273" w:firstLineChars="200" w:firstLine="607"/>
        <w:jc w:val="right"/>
        <w:rPr>
          <w:rFonts w:hint="eastAsia"/>
        </w:rPr>
      </w:pPr>
    </w:p>
    <w:p w:rsidR="002D6FA4" w:rsidRPr="008A2281" w:rsidRDefault="002D6FA4" w:rsidP="002D6FA4">
      <w:pPr>
        <w:spacing w:line="540" w:lineRule="exact"/>
        <w:ind w:rightChars="419" w:right="1273" w:firstLineChars="200" w:firstLine="607"/>
        <w:jc w:val="right"/>
        <w:rPr>
          <w:rFonts w:hint="eastAsia"/>
        </w:rPr>
      </w:pPr>
      <w:bookmarkStart w:id="0" w:name="_GoBack"/>
      <w:bookmarkEnd w:id="0"/>
      <w:r>
        <w:rPr>
          <w:rFonts w:hint="eastAsia"/>
        </w:rPr>
        <w:t>2020</w:t>
      </w:r>
      <w:r>
        <w:rPr>
          <w:rFonts w:hint="eastAsia"/>
        </w:rPr>
        <w:t>年</w:t>
      </w:r>
      <w:r>
        <w:rPr>
          <w:rFonts w:hint="eastAsia"/>
        </w:rPr>
        <w:t>5</w:t>
      </w:r>
      <w:r>
        <w:rPr>
          <w:rFonts w:hint="eastAsia"/>
        </w:rPr>
        <w:t>月</w:t>
      </w:r>
      <w:r>
        <w:rPr>
          <w:rFonts w:hint="eastAsia"/>
        </w:rPr>
        <w:t>9</w:t>
      </w:r>
      <w:r>
        <w:rPr>
          <w:rFonts w:hint="eastAsia"/>
        </w:rPr>
        <w:t>日</w:t>
      </w:r>
    </w:p>
    <w:p w:rsidR="002D6FA4" w:rsidRPr="00155AB3" w:rsidRDefault="002D6FA4" w:rsidP="002D6FA4">
      <w:pPr>
        <w:spacing w:line="700" w:lineRule="exact"/>
        <w:jc w:val="center"/>
        <w:rPr>
          <w:rFonts w:eastAsia="宋体" w:hint="eastAsia"/>
          <w:b/>
          <w:bCs/>
          <w:sz w:val="44"/>
        </w:rPr>
      </w:pPr>
      <w:r>
        <w:br w:type="page"/>
      </w:r>
      <w:r w:rsidRPr="00155AB3">
        <w:rPr>
          <w:rFonts w:eastAsia="宋体" w:hint="eastAsia"/>
          <w:b/>
          <w:bCs/>
          <w:sz w:val="44"/>
        </w:rPr>
        <w:lastRenderedPageBreak/>
        <w:t>滁州市公共资源进场交易目录（</w:t>
      </w:r>
      <w:r w:rsidRPr="00155AB3">
        <w:rPr>
          <w:rFonts w:eastAsia="宋体" w:hint="eastAsia"/>
          <w:b/>
          <w:bCs/>
          <w:sz w:val="44"/>
        </w:rPr>
        <w:t>2020</w:t>
      </w:r>
      <w:r w:rsidRPr="00155AB3">
        <w:rPr>
          <w:rFonts w:eastAsia="宋体" w:hint="eastAsia"/>
          <w:b/>
          <w:bCs/>
          <w:sz w:val="44"/>
        </w:rPr>
        <w:t>年版）</w:t>
      </w:r>
    </w:p>
    <w:p w:rsidR="002D6FA4" w:rsidRDefault="002D6FA4" w:rsidP="002D6FA4">
      <w:pPr>
        <w:spacing w:line="560" w:lineRule="exact"/>
        <w:ind w:firstLineChars="200" w:firstLine="607"/>
        <w:rPr>
          <w:rFonts w:hint="eastAsia"/>
        </w:rPr>
      </w:pPr>
    </w:p>
    <w:tbl>
      <w:tblPr>
        <w:tblW w:w="8755" w:type="dxa"/>
        <w:tblLayout w:type="fixed"/>
        <w:tblLook w:val="04A0" w:firstRow="1" w:lastRow="0" w:firstColumn="1" w:lastColumn="0" w:noHBand="0" w:noVBand="1"/>
      </w:tblPr>
      <w:tblGrid>
        <w:gridCol w:w="675"/>
        <w:gridCol w:w="1591"/>
        <w:gridCol w:w="3512"/>
        <w:gridCol w:w="2977"/>
      </w:tblGrid>
      <w:tr w:rsidR="002D6FA4" w:rsidRPr="00155AB3" w:rsidTr="00FC2D11">
        <w:trPr>
          <w:trHeight w:val="522"/>
          <w:tblHead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D6FA4" w:rsidRPr="00155AB3" w:rsidRDefault="002D6FA4" w:rsidP="00FC2D11">
            <w:pPr>
              <w:spacing w:line="340" w:lineRule="exact"/>
              <w:jc w:val="center"/>
              <w:rPr>
                <w:rFonts w:ascii="黑体" w:eastAsia="黑体" w:hAnsi="黑体"/>
                <w:sz w:val="24"/>
              </w:rPr>
            </w:pPr>
            <w:r w:rsidRPr="00155AB3">
              <w:rPr>
                <w:rFonts w:ascii="黑体" w:eastAsia="黑体" w:hAnsi="黑体" w:hint="eastAsia"/>
                <w:sz w:val="24"/>
              </w:rPr>
              <w:t>序号</w:t>
            </w:r>
          </w:p>
        </w:tc>
        <w:tc>
          <w:tcPr>
            <w:tcW w:w="1591"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jc w:val="center"/>
              <w:rPr>
                <w:rFonts w:ascii="黑体" w:eastAsia="黑体" w:hAnsi="黑体"/>
                <w:sz w:val="24"/>
              </w:rPr>
            </w:pPr>
            <w:r w:rsidRPr="00155AB3">
              <w:rPr>
                <w:rFonts w:ascii="黑体" w:eastAsia="黑体" w:hAnsi="黑体" w:hint="eastAsia"/>
                <w:sz w:val="24"/>
              </w:rPr>
              <w:t>项目类别</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jc w:val="center"/>
              <w:rPr>
                <w:rFonts w:ascii="黑体" w:eastAsia="黑体" w:hAnsi="黑体"/>
                <w:sz w:val="24"/>
              </w:rPr>
            </w:pPr>
            <w:r w:rsidRPr="00155AB3">
              <w:rPr>
                <w:rFonts w:ascii="黑体" w:eastAsia="黑体" w:hAnsi="黑体" w:hint="eastAsia"/>
                <w:sz w:val="24"/>
              </w:rPr>
              <w:t>项目内容</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jc w:val="center"/>
              <w:rPr>
                <w:rFonts w:ascii="黑体" w:eastAsia="黑体" w:hAnsi="黑体"/>
                <w:sz w:val="24"/>
              </w:rPr>
            </w:pPr>
            <w:r w:rsidRPr="00155AB3">
              <w:rPr>
                <w:rFonts w:ascii="黑体" w:eastAsia="黑体" w:hAnsi="黑体" w:hint="eastAsia"/>
                <w:sz w:val="24"/>
              </w:rPr>
              <w:t>进场限额标准及范围说明</w:t>
            </w:r>
          </w:p>
        </w:tc>
      </w:tr>
      <w:tr w:rsidR="002D6FA4" w:rsidRPr="00155AB3" w:rsidTr="00FC2D11">
        <w:trPr>
          <w:trHeight w:val="1022"/>
        </w:trPr>
        <w:tc>
          <w:tcPr>
            <w:tcW w:w="675" w:type="dxa"/>
            <w:vMerge w:val="restart"/>
            <w:tcBorders>
              <w:top w:val="nil"/>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1</w:t>
            </w:r>
          </w:p>
        </w:tc>
        <w:tc>
          <w:tcPr>
            <w:tcW w:w="1591" w:type="dxa"/>
            <w:vMerge w:val="restart"/>
            <w:tcBorders>
              <w:top w:val="nil"/>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工程建设</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政府投资和使用国有资金（含财政性资金）以及国有资金占控股或主导地位的工程建设项目的施工</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施工单项合同估算金额</w:t>
            </w:r>
            <w:r w:rsidRPr="00155AB3">
              <w:rPr>
                <w:rFonts w:hint="eastAsia"/>
                <w:sz w:val="24"/>
              </w:rPr>
              <w:t>100</w:t>
            </w:r>
            <w:r w:rsidRPr="00155AB3">
              <w:rPr>
                <w:rFonts w:hint="eastAsia"/>
                <w:sz w:val="24"/>
              </w:rPr>
              <w:t>万元及以上</w:t>
            </w:r>
          </w:p>
        </w:tc>
      </w:tr>
      <w:tr w:rsidR="002D6FA4" w:rsidRPr="00155AB3" w:rsidTr="00FC2D11">
        <w:trPr>
          <w:trHeight w:val="1419"/>
        </w:trPr>
        <w:tc>
          <w:tcPr>
            <w:tcW w:w="675" w:type="dxa"/>
            <w:vMerge/>
            <w:tcBorders>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left w:val="nil"/>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政府投资和使用国有资金（含财政性资金）以及国有资金占控股或主导地位的与工程建设有关的重要设备和材料等</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与工程建设有关的重要设备、材料等采购单项合同估算金额</w:t>
            </w:r>
            <w:r w:rsidRPr="00155AB3">
              <w:rPr>
                <w:rFonts w:hint="eastAsia"/>
                <w:sz w:val="24"/>
              </w:rPr>
              <w:t>60</w:t>
            </w:r>
            <w:r w:rsidRPr="00155AB3">
              <w:rPr>
                <w:rFonts w:hint="eastAsia"/>
                <w:sz w:val="24"/>
              </w:rPr>
              <w:t>万元及以上</w:t>
            </w:r>
          </w:p>
        </w:tc>
      </w:tr>
      <w:tr w:rsidR="002D6FA4" w:rsidRPr="00155AB3" w:rsidTr="00FC2D11">
        <w:trPr>
          <w:trHeight w:val="1397"/>
        </w:trPr>
        <w:tc>
          <w:tcPr>
            <w:tcW w:w="675" w:type="dxa"/>
            <w:vMerge/>
            <w:tcBorders>
              <w:left w:val="single" w:sz="4" w:space="0" w:color="000000"/>
              <w:bottom w:val="single" w:sz="4" w:space="0" w:color="000000"/>
              <w:right w:val="single" w:sz="4" w:space="0" w:color="000000"/>
            </w:tcBorders>
            <w:vAlign w:val="center"/>
          </w:tcPr>
          <w:p w:rsidR="002D6FA4" w:rsidRPr="00155AB3" w:rsidRDefault="002D6FA4" w:rsidP="00FC2D11">
            <w:pPr>
              <w:spacing w:line="340" w:lineRule="exact"/>
              <w:jc w:val="center"/>
              <w:rPr>
                <w:sz w:val="24"/>
              </w:rPr>
            </w:pPr>
          </w:p>
        </w:tc>
        <w:tc>
          <w:tcPr>
            <w:tcW w:w="1591" w:type="dxa"/>
            <w:vMerge/>
            <w:tcBorders>
              <w:left w:val="nil"/>
              <w:bottom w:val="single" w:sz="4" w:space="0" w:color="000000"/>
              <w:right w:val="single" w:sz="4" w:space="0" w:color="000000"/>
            </w:tcBorders>
            <w:vAlign w:val="center"/>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tcPr>
          <w:p w:rsidR="002D6FA4" w:rsidRPr="00155AB3" w:rsidRDefault="002D6FA4" w:rsidP="00FC2D11">
            <w:pPr>
              <w:spacing w:line="340" w:lineRule="exact"/>
              <w:rPr>
                <w:sz w:val="24"/>
              </w:rPr>
            </w:pPr>
            <w:r w:rsidRPr="00155AB3">
              <w:rPr>
                <w:rFonts w:hint="eastAsia"/>
                <w:sz w:val="24"/>
              </w:rPr>
              <w:t>政府投资和使用国有资金（含财政性资金）以及国有资金占控股或主导地位的工程项目的勘察、设计、监理等服务</w:t>
            </w:r>
          </w:p>
        </w:tc>
        <w:tc>
          <w:tcPr>
            <w:tcW w:w="2977" w:type="dxa"/>
            <w:tcBorders>
              <w:top w:val="single" w:sz="4" w:space="0" w:color="000000"/>
              <w:left w:val="nil"/>
              <w:bottom w:val="single" w:sz="4" w:space="0" w:color="000000"/>
              <w:right w:val="single" w:sz="4" w:space="0" w:color="000000"/>
            </w:tcBorders>
            <w:vAlign w:val="center"/>
          </w:tcPr>
          <w:p w:rsidR="002D6FA4" w:rsidRPr="00155AB3" w:rsidRDefault="002D6FA4" w:rsidP="00FC2D11">
            <w:pPr>
              <w:spacing w:line="340" w:lineRule="exact"/>
              <w:rPr>
                <w:sz w:val="24"/>
              </w:rPr>
            </w:pPr>
            <w:r w:rsidRPr="00155AB3">
              <w:rPr>
                <w:rFonts w:hint="eastAsia"/>
                <w:sz w:val="24"/>
              </w:rPr>
              <w:t>勘察、设计、监理等</w:t>
            </w:r>
            <w:r>
              <w:rPr>
                <w:rFonts w:hint="eastAsia"/>
                <w:sz w:val="24"/>
              </w:rPr>
              <w:t>服务</w:t>
            </w:r>
            <w:r w:rsidRPr="00155AB3">
              <w:rPr>
                <w:rFonts w:hint="eastAsia"/>
                <w:sz w:val="24"/>
              </w:rPr>
              <w:t>单项合同估算金额</w:t>
            </w:r>
            <w:r w:rsidRPr="00155AB3">
              <w:rPr>
                <w:rFonts w:hint="eastAsia"/>
                <w:sz w:val="24"/>
              </w:rPr>
              <w:t>60</w:t>
            </w:r>
            <w:r w:rsidRPr="00155AB3">
              <w:rPr>
                <w:rFonts w:hint="eastAsia"/>
                <w:sz w:val="24"/>
              </w:rPr>
              <w:t>万元及以上</w:t>
            </w:r>
          </w:p>
        </w:tc>
      </w:tr>
      <w:tr w:rsidR="002D6FA4" w:rsidRPr="00155AB3" w:rsidTr="00FC2D11">
        <w:trPr>
          <w:trHeight w:val="850"/>
        </w:trPr>
        <w:tc>
          <w:tcPr>
            <w:tcW w:w="675" w:type="dxa"/>
            <w:vMerge w:val="restart"/>
            <w:tcBorders>
              <w:top w:val="single" w:sz="4" w:space="0" w:color="000000"/>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2</w:t>
            </w:r>
          </w:p>
        </w:tc>
        <w:tc>
          <w:tcPr>
            <w:tcW w:w="1591" w:type="dxa"/>
            <w:vMerge w:val="restart"/>
            <w:tcBorders>
              <w:top w:val="single" w:sz="4" w:space="0" w:color="000000"/>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政府采购</w:t>
            </w:r>
          </w:p>
        </w:tc>
        <w:tc>
          <w:tcPr>
            <w:tcW w:w="3512" w:type="dxa"/>
            <w:vMerge w:val="restart"/>
            <w:tcBorders>
              <w:top w:val="single" w:sz="4" w:space="0" w:color="000000"/>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政府采购</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政府采购工程进场限额标准执行工程建设进场限额标准</w:t>
            </w:r>
          </w:p>
        </w:tc>
      </w:tr>
      <w:tr w:rsidR="002D6FA4" w:rsidRPr="00155AB3" w:rsidTr="00FC2D11">
        <w:trPr>
          <w:trHeight w:val="755"/>
        </w:trPr>
        <w:tc>
          <w:tcPr>
            <w:tcW w:w="675" w:type="dxa"/>
            <w:vMerge/>
            <w:tcBorders>
              <w:left w:val="single" w:sz="4" w:space="0" w:color="000000"/>
              <w:bottom w:val="single" w:sz="4" w:space="0" w:color="000000"/>
              <w:right w:val="single" w:sz="4" w:space="0" w:color="000000"/>
            </w:tcBorders>
            <w:vAlign w:val="center"/>
          </w:tcPr>
          <w:p w:rsidR="002D6FA4" w:rsidRPr="00155AB3" w:rsidRDefault="002D6FA4" w:rsidP="00FC2D11">
            <w:pPr>
              <w:spacing w:line="340" w:lineRule="exact"/>
              <w:jc w:val="center"/>
              <w:rPr>
                <w:sz w:val="24"/>
              </w:rPr>
            </w:pPr>
          </w:p>
        </w:tc>
        <w:tc>
          <w:tcPr>
            <w:tcW w:w="1591" w:type="dxa"/>
            <w:vMerge/>
            <w:tcBorders>
              <w:left w:val="nil"/>
              <w:bottom w:val="single" w:sz="4" w:space="0" w:color="000000"/>
              <w:right w:val="single" w:sz="4" w:space="0" w:color="000000"/>
            </w:tcBorders>
            <w:vAlign w:val="center"/>
          </w:tcPr>
          <w:p w:rsidR="002D6FA4" w:rsidRPr="00155AB3" w:rsidRDefault="002D6FA4" w:rsidP="00FC2D11">
            <w:pPr>
              <w:spacing w:line="340" w:lineRule="exact"/>
              <w:rPr>
                <w:sz w:val="24"/>
              </w:rPr>
            </w:pPr>
          </w:p>
        </w:tc>
        <w:tc>
          <w:tcPr>
            <w:tcW w:w="3512" w:type="dxa"/>
            <w:vMerge/>
            <w:tcBorders>
              <w:left w:val="nil"/>
              <w:bottom w:val="single" w:sz="4" w:space="0" w:color="000000"/>
              <w:right w:val="single" w:sz="4" w:space="0" w:color="000000"/>
            </w:tcBorders>
            <w:vAlign w:val="center"/>
          </w:tcPr>
          <w:p w:rsidR="002D6FA4" w:rsidRPr="00155AB3" w:rsidRDefault="002D6FA4" w:rsidP="00FC2D11">
            <w:pPr>
              <w:spacing w:line="340" w:lineRule="exact"/>
              <w:rPr>
                <w:sz w:val="24"/>
              </w:rPr>
            </w:pPr>
          </w:p>
        </w:tc>
        <w:tc>
          <w:tcPr>
            <w:tcW w:w="2977" w:type="dxa"/>
            <w:tcBorders>
              <w:top w:val="single" w:sz="4" w:space="0" w:color="000000"/>
              <w:left w:val="nil"/>
              <w:bottom w:val="single" w:sz="4" w:space="0" w:color="000000"/>
              <w:right w:val="single" w:sz="4" w:space="0" w:color="000000"/>
            </w:tcBorders>
            <w:vAlign w:val="center"/>
          </w:tcPr>
          <w:p w:rsidR="002D6FA4" w:rsidRPr="00155AB3" w:rsidRDefault="002D6FA4" w:rsidP="00FC2D11">
            <w:pPr>
              <w:spacing w:line="340" w:lineRule="exact"/>
              <w:rPr>
                <w:sz w:val="24"/>
              </w:rPr>
            </w:pPr>
            <w:r w:rsidRPr="00155AB3">
              <w:rPr>
                <w:rFonts w:hint="eastAsia"/>
                <w:sz w:val="24"/>
              </w:rPr>
              <w:t>货物、服务类单项或批量预算金额</w:t>
            </w:r>
            <w:r w:rsidRPr="00155AB3">
              <w:rPr>
                <w:rFonts w:hint="eastAsia"/>
                <w:sz w:val="24"/>
              </w:rPr>
              <w:t>30</w:t>
            </w:r>
            <w:r w:rsidRPr="00155AB3">
              <w:rPr>
                <w:rFonts w:hint="eastAsia"/>
                <w:sz w:val="24"/>
              </w:rPr>
              <w:t>万元及以上</w:t>
            </w:r>
          </w:p>
        </w:tc>
      </w:tr>
      <w:tr w:rsidR="002D6FA4" w:rsidRPr="00155AB3" w:rsidTr="00FC2D11">
        <w:trPr>
          <w:trHeight w:val="2050"/>
        </w:trPr>
        <w:tc>
          <w:tcPr>
            <w:tcW w:w="675" w:type="dxa"/>
            <w:vMerge w:val="restart"/>
            <w:tcBorders>
              <w:top w:val="nil"/>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3</w:t>
            </w:r>
          </w:p>
        </w:tc>
        <w:tc>
          <w:tcPr>
            <w:tcW w:w="1591" w:type="dxa"/>
            <w:vMerge w:val="restart"/>
            <w:tcBorders>
              <w:top w:val="nil"/>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产权交易</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行政、事业单位国有产权交易</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车辆、土地、房屋单项资产原值</w:t>
            </w:r>
            <w:r w:rsidRPr="00155AB3">
              <w:rPr>
                <w:rFonts w:hint="eastAsia"/>
                <w:sz w:val="24"/>
              </w:rPr>
              <w:t>5</w:t>
            </w:r>
            <w:r w:rsidRPr="00155AB3">
              <w:rPr>
                <w:rFonts w:hint="eastAsia"/>
                <w:sz w:val="24"/>
              </w:rPr>
              <w:t>万元</w:t>
            </w:r>
            <w:r>
              <w:rPr>
                <w:rFonts w:hint="eastAsia"/>
                <w:sz w:val="24"/>
              </w:rPr>
              <w:t>以上</w:t>
            </w:r>
            <w:r w:rsidRPr="00155AB3">
              <w:rPr>
                <w:rFonts w:hint="eastAsia"/>
                <w:sz w:val="24"/>
              </w:rPr>
              <w:t>或批量资产原值</w:t>
            </w:r>
            <w:r w:rsidRPr="00155AB3">
              <w:rPr>
                <w:rFonts w:hint="eastAsia"/>
                <w:sz w:val="24"/>
              </w:rPr>
              <w:t>10</w:t>
            </w:r>
            <w:r w:rsidRPr="00155AB3">
              <w:rPr>
                <w:rFonts w:hint="eastAsia"/>
                <w:sz w:val="24"/>
              </w:rPr>
              <w:t>万以上的其他资产等重大资产的出售，原值</w:t>
            </w:r>
            <w:r w:rsidRPr="00155AB3">
              <w:rPr>
                <w:rFonts w:hint="eastAsia"/>
                <w:sz w:val="24"/>
              </w:rPr>
              <w:t>50</w:t>
            </w:r>
            <w:r w:rsidRPr="00155AB3">
              <w:rPr>
                <w:rFonts w:hint="eastAsia"/>
                <w:sz w:val="24"/>
              </w:rPr>
              <w:t>万元以上的电子设备、仪器设备的报废</w:t>
            </w:r>
          </w:p>
        </w:tc>
      </w:tr>
      <w:tr w:rsidR="002D6FA4" w:rsidRPr="00155AB3" w:rsidTr="00FC2D11">
        <w:trPr>
          <w:trHeight w:val="560"/>
        </w:trPr>
        <w:tc>
          <w:tcPr>
            <w:tcW w:w="675" w:type="dxa"/>
            <w:vMerge/>
            <w:tcBorders>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left w:val="nil"/>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行政机关事业单位房屋租赁</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全部</w:t>
            </w:r>
          </w:p>
        </w:tc>
      </w:tr>
      <w:tr w:rsidR="002D6FA4" w:rsidRPr="00155AB3" w:rsidTr="00FC2D11">
        <w:trPr>
          <w:trHeight w:val="559"/>
        </w:trPr>
        <w:tc>
          <w:tcPr>
            <w:tcW w:w="675" w:type="dxa"/>
            <w:vMerge w:val="restart"/>
            <w:tcBorders>
              <w:top w:val="single" w:sz="4" w:space="0" w:color="000000"/>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4</w:t>
            </w:r>
          </w:p>
        </w:tc>
        <w:tc>
          <w:tcPr>
            <w:tcW w:w="1591" w:type="dxa"/>
            <w:vMerge w:val="restart"/>
            <w:tcBorders>
              <w:top w:val="single" w:sz="4" w:space="0" w:color="000000"/>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土地使用权和矿业权出让</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国有建设用地使用权出让</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全部</w:t>
            </w:r>
          </w:p>
        </w:tc>
      </w:tr>
      <w:tr w:rsidR="002D6FA4" w:rsidRPr="00155AB3" w:rsidTr="00FC2D11">
        <w:trPr>
          <w:trHeight w:val="559"/>
        </w:trPr>
        <w:tc>
          <w:tcPr>
            <w:tcW w:w="675" w:type="dxa"/>
            <w:vMerge/>
            <w:tcBorders>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left w:val="nil"/>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矿业权出让</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全部</w:t>
            </w:r>
          </w:p>
        </w:tc>
      </w:tr>
      <w:tr w:rsidR="002D6FA4" w:rsidRPr="00155AB3" w:rsidTr="00FC2D11">
        <w:trPr>
          <w:trHeight w:val="773"/>
        </w:trPr>
        <w:tc>
          <w:tcPr>
            <w:tcW w:w="675" w:type="dxa"/>
            <w:vMerge w:val="restart"/>
            <w:tcBorders>
              <w:top w:val="single" w:sz="4" w:space="0" w:color="000000"/>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5</w:t>
            </w:r>
          </w:p>
        </w:tc>
        <w:tc>
          <w:tcPr>
            <w:tcW w:w="1591" w:type="dxa"/>
            <w:vMerge w:val="restart"/>
            <w:tcBorders>
              <w:top w:val="single" w:sz="4" w:space="0" w:color="000000"/>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无形资产交易</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基础设施和公用事业特许经营权授予</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全部</w:t>
            </w:r>
          </w:p>
        </w:tc>
      </w:tr>
      <w:tr w:rsidR="002D6FA4" w:rsidRPr="00155AB3" w:rsidTr="00FC2D11">
        <w:trPr>
          <w:trHeight w:val="773"/>
        </w:trPr>
        <w:tc>
          <w:tcPr>
            <w:tcW w:w="675" w:type="dxa"/>
            <w:vMerge/>
            <w:tcBorders>
              <w:left w:val="single" w:sz="4" w:space="0" w:color="000000"/>
              <w:bottom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市政公用设施及公共场地使用权、承包经营权、冠名权有偿转让</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全部</w:t>
            </w:r>
          </w:p>
        </w:tc>
      </w:tr>
      <w:tr w:rsidR="002D6FA4" w:rsidRPr="00155AB3" w:rsidTr="00FC2D11">
        <w:trPr>
          <w:trHeight w:val="563"/>
        </w:trPr>
        <w:tc>
          <w:tcPr>
            <w:tcW w:w="675" w:type="dxa"/>
            <w:vMerge w:val="restart"/>
            <w:tcBorders>
              <w:top w:val="single" w:sz="4" w:space="0" w:color="000000"/>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lastRenderedPageBreak/>
              <w:t>6</w:t>
            </w:r>
          </w:p>
        </w:tc>
        <w:tc>
          <w:tcPr>
            <w:tcW w:w="1591" w:type="dxa"/>
            <w:vMerge w:val="restart"/>
            <w:tcBorders>
              <w:top w:val="single" w:sz="4" w:space="0" w:color="000000"/>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农村集体产权交易</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农村集体土地经营权流转</w:t>
            </w:r>
          </w:p>
        </w:tc>
        <w:tc>
          <w:tcPr>
            <w:tcW w:w="2977" w:type="dxa"/>
            <w:vMerge w:val="restart"/>
            <w:tcBorders>
              <w:top w:val="single" w:sz="4" w:space="0" w:color="000000"/>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单项或批量金额</w:t>
            </w:r>
            <w:r w:rsidRPr="00155AB3">
              <w:rPr>
                <w:rFonts w:hint="eastAsia"/>
                <w:sz w:val="24"/>
              </w:rPr>
              <w:t>2</w:t>
            </w:r>
            <w:r w:rsidRPr="00155AB3">
              <w:rPr>
                <w:rFonts w:hint="eastAsia"/>
                <w:sz w:val="24"/>
              </w:rPr>
              <w:t>万元（评估价）及以上</w:t>
            </w:r>
          </w:p>
        </w:tc>
      </w:tr>
      <w:tr w:rsidR="002D6FA4" w:rsidRPr="00155AB3" w:rsidTr="00FC2D11">
        <w:trPr>
          <w:trHeight w:val="557"/>
        </w:trPr>
        <w:tc>
          <w:tcPr>
            <w:tcW w:w="675" w:type="dxa"/>
            <w:vMerge/>
            <w:tcBorders>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left w:val="nil"/>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农村集体经营性资产出租转让</w:t>
            </w:r>
          </w:p>
        </w:tc>
        <w:tc>
          <w:tcPr>
            <w:tcW w:w="2977" w:type="dxa"/>
            <w:vMerge/>
            <w:tcBorders>
              <w:left w:val="nil"/>
              <w:right w:val="single" w:sz="4" w:space="0" w:color="000000"/>
            </w:tcBorders>
            <w:vAlign w:val="center"/>
            <w:hideMark/>
          </w:tcPr>
          <w:p w:rsidR="002D6FA4" w:rsidRPr="00155AB3" w:rsidRDefault="002D6FA4" w:rsidP="00FC2D11">
            <w:pPr>
              <w:spacing w:line="340" w:lineRule="exact"/>
              <w:rPr>
                <w:sz w:val="24"/>
              </w:rPr>
            </w:pPr>
          </w:p>
        </w:tc>
      </w:tr>
      <w:tr w:rsidR="002D6FA4" w:rsidRPr="00155AB3" w:rsidTr="00FC2D11">
        <w:trPr>
          <w:trHeight w:val="550"/>
        </w:trPr>
        <w:tc>
          <w:tcPr>
            <w:tcW w:w="675" w:type="dxa"/>
            <w:vMerge/>
            <w:tcBorders>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left w:val="nil"/>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农村集体资产股权转让</w:t>
            </w:r>
          </w:p>
        </w:tc>
        <w:tc>
          <w:tcPr>
            <w:tcW w:w="2977" w:type="dxa"/>
            <w:vMerge/>
            <w:tcBorders>
              <w:left w:val="nil"/>
              <w:right w:val="single" w:sz="4" w:space="0" w:color="000000"/>
            </w:tcBorders>
            <w:vAlign w:val="center"/>
            <w:hideMark/>
          </w:tcPr>
          <w:p w:rsidR="002D6FA4" w:rsidRPr="00155AB3" w:rsidRDefault="002D6FA4" w:rsidP="00FC2D11">
            <w:pPr>
              <w:spacing w:line="340" w:lineRule="exact"/>
              <w:rPr>
                <w:sz w:val="24"/>
              </w:rPr>
            </w:pPr>
          </w:p>
        </w:tc>
      </w:tr>
      <w:tr w:rsidR="002D6FA4" w:rsidRPr="00155AB3" w:rsidTr="00FC2D11">
        <w:trPr>
          <w:trHeight w:val="846"/>
        </w:trPr>
        <w:tc>
          <w:tcPr>
            <w:tcW w:w="675" w:type="dxa"/>
            <w:vMerge/>
            <w:tcBorders>
              <w:left w:val="single" w:sz="4" w:space="0" w:color="000000"/>
              <w:bottom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四荒（荒山、荒沟、荒丘、荒滩）地使用权流转</w:t>
            </w:r>
          </w:p>
        </w:tc>
        <w:tc>
          <w:tcPr>
            <w:tcW w:w="2977" w:type="dxa"/>
            <w:vMerge/>
            <w:tcBorders>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p>
        </w:tc>
      </w:tr>
      <w:tr w:rsidR="002D6FA4" w:rsidRPr="00155AB3" w:rsidTr="00FC2D11">
        <w:trPr>
          <w:trHeight w:val="779"/>
        </w:trPr>
        <w:tc>
          <w:tcPr>
            <w:tcW w:w="675" w:type="dxa"/>
            <w:vMerge w:val="restart"/>
            <w:tcBorders>
              <w:top w:val="single" w:sz="4" w:space="0" w:color="000000"/>
              <w:left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7</w:t>
            </w:r>
          </w:p>
        </w:tc>
        <w:tc>
          <w:tcPr>
            <w:tcW w:w="1591" w:type="dxa"/>
            <w:vMerge w:val="restart"/>
            <w:tcBorders>
              <w:top w:val="single" w:sz="4" w:space="0" w:color="000000"/>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林权交易</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国有林地使用权、租赁权和林木所有权出让</w:t>
            </w:r>
          </w:p>
        </w:tc>
        <w:tc>
          <w:tcPr>
            <w:tcW w:w="2977" w:type="dxa"/>
            <w:vMerge w:val="restart"/>
            <w:tcBorders>
              <w:top w:val="single" w:sz="4" w:space="0" w:color="000000"/>
              <w:left w:val="nil"/>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全部</w:t>
            </w:r>
          </w:p>
        </w:tc>
      </w:tr>
      <w:tr w:rsidR="002D6FA4" w:rsidRPr="00155AB3" w:rsidTr="00FC2D11">
        <w:trPr>
          <w:trHeight w:val="779"/>
        </w:trPr>
        <w:tc>
          <w:tcPr>
            <w:tcW w:w="675" w:type="dxa"/>
            <w:vMerge/>
            <w:tcBorders>
              <w:left w:val="single" w:sz="4" w:space="0" w:color="000000"/>
              <w:bottom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集体统一经营管理的林地经营权和林木所有权出让</w:t>
            </w:r>
          </w:p>
        </w:tc>
        <w:tc>
          <w:tcPr>
            <w:tcW w:w="2977" w:type="dxa"/>
            <w:vMerge/>
            <w:tcBorders>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p>
        </w:tc>
      </w:tr>
      <w:tr w:rsidR="002D6FA4" w:rsidRPr="00155AB3" w:rsidTr="00FC2D11">
        <w:trPr>
          <w:trHeight w:val="170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8</w:t>
            </w:r>
          </w:p>
        </w:tc>
        <w:tc>
          <w:tcPr>
            <w:tcW w:w="1591"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司法机关和行政执法部门开展的涉诉、抵债或罚没资产处置</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司法机关和行政执法部门开展的涉诉、抵债或罚没资产处置</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全部（鲜活商品除外）</w:t>
            </w:r>
          </w:p>
        </w:tc>
      </w:tr>
      <w:tr w:rsidR="002D6FA4" w:rsidRPr="00155AB3" w:rsidTr="00FC2D11">
        <w:trPr>
          <w:trHeight w:val="846"/>
        </w:trPr>
        <w:tc>
          <w:tcPr>
            <w:tcW w:w="675" w:type="dxa"/>
            <w:vMerge w:val="restart"/>
            <w:tcBorders>
              <w:top w:val="nil"/>
              <w:left w:val="single" w:sz="4" w:space="0" w:color="000000"/>
              <w:bottom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9</w:t>
            </w:r>
          </w:p>
        </w:tc>
        <w:tc>
          <w:tcPr>
            <w:tcW w:w="1591" w:type="dxa"/>
            <w:vMerge w:val="restart"/>
            <w:tcBorders>
              <w:top w:val="nil"/>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医用耗材和医用设备采购</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公立医疗卫生机构药品和医用耗材采购</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集中采购或带量采购</w:t>
            </w:r>
          </w:p>
        </w:tc>
      </w:tr>
      <w:tr w:rsidR="002D6FA4" w:rsidRPr="00155AB3" w:rsidTr="00FC2D11">
        <w:trPr>
          <w:trHeight w:val="1128"/>
        </w:trPr>
        <w:tc>
          <w:tcPr>
            <w:tcW w:w="675" w:type="dxa"/>
            <w:vMerge/>
            <w:tcBorders>
              <w:top w:val="nil"/>
              <w:left w:val="single" w:sz="4" w:space="0" w:color="000000"/>
              <w:bottom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p>
        </w:tc>
        <w:tc>
          <w:tcPr>
            <w:tcW w:w="1591" w:type="dxa"/>
            <w:vMerge/>
            <w:tcBorders>
              <w:top w:val="nil"/>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公立医疗卫生机构医用设备采购</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单项或批量预算金额</w:t>
            </w:r>
            <w:r w:rsidRPr="00155AB3">
              <w:rPr>
                <w:rFonts w:hint="eastAsia"/>
                <w:sz w:val="24"/>
              </w:rPr>
              <w:t>30</w:t>
            </w:r>
            <w:r w:rsidRPr="00155AB3">
              <w:rPr>
                <w:rFonts w:hint="eastAsia"/>
                <w:sz w:val="24"/>
              </w:rPr>
              <w:t>万元及以上</w:t>
            </w:r>
            <w:r>
              <w:rPr>
                <w:rFonts w:hint="eastAsia"/>
                <w:sz w:val="24"/>
              </w:rPr>
              <w:t>（</w:t>
            </w:r>
            <w:r w:rsidRPr="00155AB3">
              <w:rPr>
                <w:rFonts w:hint="eastAsia"/>
                <w:sz w:val="24"/>
              </w:rPr>
              <w:t>大型医用设备按照省有关规定执行</w:t>
            </w:r>
            <w:r>
              <w:rPr>
                <w:rFonts w:hint="eastAsia"/>
                <w:sz w:val="24"/>
              </w:rPr>
              <w:t>）</w:t>
            </w:r>
          </w:p>
        </w:tc>
      </w:tr>
      <w:tr w:rsidR="002D6FA4" w:rsidRPr="00155AB3" w:rsidTr="00FC2D11">
        <w:trPr>
          <w:trHeight w:val="111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D6FA4" w:rsidRPr="00155AB3" w:rsidRDefault="002D6FA4" w:rsidP="00FC2D11">
            <w:pPr>
              <w:spacing w:line="340" w:lineRule="exact"/>
              <w:jc w:val="center"/>
              <w:rPr>
                <w:sz w:val="24"/>
              </w:rPr>
            </w:pPr>
            <w:r w:rsidRPr="00155AB3">
              <w:rPr>
                <w:rFonts w:hint="eastAsia"/>
                <w:sz w:val="24"/>
              </w:rPr>
              <w:t>10</w:t>
            </w:r>
          </w:p>
        </w:tc>
        <w:tc>
          <w:tcPr>
            <w:tcW w:w="1591"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其他</w:t>
            </w:r>
          </w:p>
        </w:tc>
        <w:tc>
          <w:tcPr>
            <w:tcW w:w="3512"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碳排放权、排污权、用能权等法律法规、市级及以上文件规定应进场交易的各类公共资源项目</w:t>
            </w:r>
          </w:p>
        </w:tc>
        <w:tc>
          <w:tcPr>
            <w:tcW w:w="2977" w:type="dxa"/>
            <w:tcBorders>
              <w:top w:val="single" w:sz="4" w:space="0" w:color="000000"/>
              <w:left w:val="nil"/>
              <w:bottom w:val="single" w:sz="4" w:space="0" w:color="000000"/>
              <w:right w:val="single" w:sz="4" w:space="0" w:color="000000"/>
            </w:tcBorders>
            <w:vAlign w:val="center"/>
            <w:hideMark/>
          </w:tcPr>
          <w:p w:rsidR="002D6FA4" w:rsidRPr="00155AB3" w:rsidRDefault="002D6FA4" w:rsidP="00FC2D11">
            <w:pPr>
              <w:spacing w:line="340" w:lineRule="exact"/>
              <w:rPr>
                <w:sz w:val="24"/>
              </w:rPr>
            </w:pPr>
            <w:r w:rsidRPr="00155AB3">
              <w:rPr>
                <w:rFonts w:hint="eastAsia"/>
                <w:sz w:val="24"/>
              </w:rPr>
              <w:t>全部</w:t>
            </w:r>
          </w:p>
        </w:tc>
      </w:tr>
    </w:tbl>
    <w:p w:rsidR="002D6FA4" w:rsidRDefault="002D6FA4" w:rsidP="002D6FA4">
      <w:pPr>
        <w:spacing w:line="560" w:lineRule="exact"/>
        <w:rPr>
          <w:rFonts w:hint="eastAsia"/>
        </w:rPr>
      </w:pPr>
    </w:p>
    <w:p w:rsidR="002D6FA4" w:rsidRDefault="002D6FA4" w:rsidP="002D6FA4">
      <w:pPr>
        <w:spacing w:line="560" w:lineRule="exact"/>
        <w:rPr>
          <w:rFonts w:hint="eastAsia"/>
        </w:rPr>
      </w:pPr>
    </w:p>
    <w:p w:rsidR="002D6FA4" w:rsidRDefault="002D6FA4" w:rsidP="002D6FA4">
      <w:pPr>
        <w:spacing w:line="560" w:lineRule="exact"/>
        <w:rPr>
          <w:rFonts w:hint="eastAsia"/>
        </w:rPr>
      </w:pPr>
    </w:p>
    <w:p w:rsidR="002D6FA4" w:rsidRDefault="002D6FA4" w:rsidP="002D6FA4">
      <w:pPr>
        <w:spacing w:line="560" w:lineRule="exact"/>
        <w:rPr>
          <w:rFonts w:hint="eastAsia"/>
        </w:rPr>
      </w:pPr>
    </w:p>
    <w:p w:rsidR="002D6FA4" w:rsidRDefault="002D6FA4" w:rsidP="002D6FA4">
      <w:pPr>
        <w:spacing w:line="560" w:lineRule="exact"/>
        <w:ind w:rightChars="100" w:right="304" w:firstLineChars="100" w:firstLine="264"/>
        <w:rPr>
          <w:rFonts w:hint="eastAsia"/>
          <w:color w:val="000000"/>
          <w:sz w:val="28"/>
          <w:szCs w:val="28"/>
        </w:rPr>
      </w:pPr>
      <w:r>
        <w:rPr>
          <w:color w:val="000000"/>
          <w:sz w:val="28"/>
          <w:szCs w:val="28"/>
        </w:rPr>
        <w:t>滁州市人民政府办公室</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2020</w:t>
      </w:r>
      <w:r>
        <w:rPr>
          <w:color w:val="000000"/>
          <w:sz w:val="28"/>
          <w:szCs w:val="28"/>
        </w:rPr>
        <w:t>年</w:t>
      </w:r>
      <w:r>
        <w:rPr>
          <w:rFonts w:hint="eastAsia"/>
          <w:color w:val="000000"/>
          <w:sz w:val="28"/>
          <w:szCs w:val="28"/>
        </w:rPr>
        <w:t>5</w:t>
      </w:r>
      <w:r>
        <w:rPr>
          <w:color w:val="000000"/>
          <w:sz w:val="28"/>
          <w:szCs w:val="28"/>
        </w:rPr>
        <w:t>月</w:t>
      </w:r>
      <w:r>
        <w:rPr>
          <w:rFonts w:hint="eastAsia"/>
          <w:color w:val="000000"/>
          <w:sz w:val="28"/>
          <w:szCs w:val="28"/>
        </w:rPr>
        <w:t>15</w:t>
      </w:r>
      <w:r>
        <w:rPr>
          <w:color w:val="000000"/>
          <w:sz w:val="28"/>
          <w:szCs w:val="28"/>
        </w:rPr>
        <w:t>日</w:t>
      </w:r>
      <w:r>
        <w:rPr>
          <w:noProof/>
          <w:color w:val="00000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38735</wp:posOffset>
                </wp:positionV>
                <wp:extent cx="5544185" cy="0"/>
                <wp:effectExtent l="8255" t="12065" r="10160"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FF23" id="直接连接符 2"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4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"/>
            </w:pict>
          </mc:Fallback>
        </mc:AlternateContent>
      </w:r>
      <w:r>
        <w:rPr>
          <w:rFonts w:hint="eastAsia"/>
          <w:color w:val="000000"/>
          <w:sz w:val="28"/>
          <w:szCs w:val="28"/>
        </w:rPr>
        <w:t>印发</w:t>
      </w:r>
    </w:p>
    <w:p w:rsidR="002D6FA4" w:rsidRDefault="002D6FA4" w:rsidP="002D6FA4">
      <w:pPr>
        <w:spacing w:line="20" w:lineRule="exact"/>
      </w:pPr>
      <w:r>
        <w:rPr>
          <w:noProof/>
          <w:color w:val="000000"/>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38735</wp:posOffset>
                </wp:positionV>
                <wp:extent cx="5544185" cy="0"/>
                <wp:effectExtent l="8255" t="5715" r="10160"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C0B62" id="直接连接符 1"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4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"/>
            </w:pict>
          </mc:Fallback>
        </mc:AlternateContent>
      </w:r>
    </w:p>
    <w:p w:rsidR="00C03ED5" w:rsidRPr="002D6FA4" w:rsidRDefault="00C03ED5"/>
    <w:sectPr w:rsidR="00C03ED5" w:rsidRPr="002D6FA4" w:rsidSect="006E40E0">
      <w:footerReference w:type="default" r:id="rId4"/>
      <w:pgSz w:w="11906" w:h="16838" w:code="9"/>
      <w:pgMar w:top="2041" w:right="1701" w:bottom="2041" w:left="1701" w:header="851" w:footer="1701" w:gutter="0"/>
      <w:pgNumType w:fmt="numberInDash"/>
      <w:cols w:space="425"/>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E0" w:rsidRDefault="002D6FA4">
    <w:pPr>
      <w:pStyle w:val="a3"/>
      <w:jc w:val="right"/>
    </w:pPr>
    <w:r>
      <w:fldChar w:fldCharType="begin"/>
    </w:r>
    <w:r>
      <w:instrText>PAGE   \* MERGEFORMAT</w:instrText>
    </w:r>
    <w:r>
      <w:fldChar w:fldCharType="separate"/>
    </w:r>
    <w:r w:rsidRPr="002D6FA4">
      <w:rPr>
        <w:noProof/>
        <w:lang w:val="zh-CN"/>
      </w:rPr>
      <w:t>-</w:t>
    </w:r>
    <w:r>
      <w:rPr>
        <w:noProof/>
      </w:rPr>
      <w:t xml:space="preserve"> 5 -</w:t>
    </w:r>
    <w:r>
      <w:fldChar w:fldCharType="end"/>
    </w:r>
  </w:p>
  <w:p w:rsidR="006E40E0" w:rsidRDefault="002D6FA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A4"/>
    <w:rsid w:val="002D6FA4"/>
    <w:rsid w:val="00C0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0401B260-BE0C-425A-8EDA-F2E03461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FA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6FA4"/>
    <w:pPr>
      <w:tabs>
        <w:tab w:val="center" w:pos="4153"/>
        <w:tab w:val="right" w:pos="8306"/>
      </w:tabs>
      <w:snapToGrid w:val="0"/>
      <w:jc w:val="left"/>
    </w:pPr>
    <w:rPr>
      <w:sz w:val="18"/>
      <w:szCs w:val="18"/>
    </w:rPr>
  </w:style>
  <w:style w:type="character" w:customStyle="1" w:styleId="Char">
    <w:name w:val="页脚 Char"/>
    <w:basedOn w:val="a0"/>
    <w:uiPriority w:val="99"/>
    <w:semiHidden/>
    <w:rsid w:val="002D6FA4"/>
    <w:rPr>
      <w:rFonts w:ascii="Times New Roman" w:eastAsia="仿宋_GB2312" w:hAnsi="Times New Roman" w:cs="Times New Roman"/>
      <w:sz w:val="18"/>
      <w:szCs w:val="18"/>
    </w:rPr>
  </w:style>
  <w:style w:type="character" w:customStyle="1" w:styleId="a4">
    <w:name w:val="页脚 字符"/>
    <w:link w:val="a3"/>
    <w:uiPriority w:val="99"/>
    <w:rsid w:val="002D6FA4"/>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2023-09-13T08:57:00Z</dcterms:created>
  <dcterms:modified xsi:type="dcterms:W3CDTF">2023-09-13T08:57:00Z</dcterms:modified>
</cp:coreProperties>
</file>