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3454" w:type="dxa"/>
        <w:tblLayout w:type="fixed"/>
        <w:tblLook w:val="04A0" w:firstRow="1" w:lastRow="0" w:firstColumn="1" w:lastColumn="0" w:noHBand="0" w:noVBand="1"/>
      </w:tblPr>
      <w:tblGrid>
        <w:gridCol w:w="534"/>
        <w:gridCol w:w="1829"/>
        <w:gridCol w:w="2428"/>
        <w:gridCol w:w="1494"/>
        <w:gridCol w:w="1183"/>
        <w:gridCol w:w="1510"/>
        <w:gridCol w:w="1256"/>
        <w:gridCol w:w="1058"/>
        <w:gridCol w:w="1169"/>
        <w:gridCol w:w="993"/>
      </w:tblGrid>
      <w:tr w:rsidR="00033375" w:rsidTr="00D56B0E">
        <w:trPr>
          <w:trHeight w:val="1239"/>
        </w:trPr>
        <w:tc>
          <w:tcPr>
            <w:tcW w:w="13454" w:type="dxa"/>
            <w:gridSpan w:val="10"/>
            <w:vAlign w:val="center"/>
          </w:tcPr>
          <w:p w:rsidR="00033375" w:rsidRDefault="00033375" w:rsidP="00D56B0E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2023年第三季度滁州市本级建设工程项目招标公告、招标文件</w:t>
            </w:r>
          </w:p>
          <w:p w:rsidR="00033375" w:rsidRDefault="00033375" w:rsidP="00D56B0E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“双随机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一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公开”在线抽查及整改情况</w:t>
            </w:r>
          </w:p>
        </w:tc>
      </w:tr>
      <w:tr w:rsidR="00033375" w:rsidTr="00D56B0E">
        <w:trPr>
          <w:trHeight w:val="804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行业领域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招标人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招标代理机构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招标公告发布平台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招投标行政监督部门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发现问题类型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发现问题的具体情况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处理情况</w:t>
            </w:r>
          </w:p>
        </w:tc>
      </w:tr>
      <w:tr w:rsidR="00033375" w:rsidTr="00D56B0E">
        <w:trPr>
          <w:trHeight w:val="1462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房建市政领域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pStyle w:val="20"/>
              <w:widowControl/>
              <w:spacing w:line="432" w:lineRule="atLeast"/>
              <w:jc w:val="center"/>
              <w:outlineLvl w:val="1"/>
              <w:rPr>
                <w:rFonts w:ascii="仿宋_GB2312" w:eastAsia="仿宋_GB2312" w:hAnsi="仿宋_GB2312" w:cs="仿宋_GB2312" w:hint="default"/>
                <w:kern w:val="2"/>
              </w:rPr>
            </w:pPr>
            <w:r>
              <w:rPr>
                <w:rFonts w:ascii="仿宋_GB2312" w:eastAsia="仿宋_GB2312" w:hAnsi="仿宋_GB2312" w:cs="仿宋_GB2312"/>
                <w:kern w:val="2"/>
              </w:rPr>
              <w:t>滁州市第一人民医院北区扩建项目</w:t>
            </w:r>
          </w:p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滁州市第一人民医院、滁州市重点工程建设管理处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投工程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咨询管理有限公司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033375" w:rsidTr="00D56B0E">
        <w:trPr>
          <w:trHeight w:val="1462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房建市政领域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滁州市第三污水处理厂尾水提升工程初步设计项目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滁州市建筑勘察设计院有限公司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投工程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咨询管理有限公司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无</w:t>
            </w:r>
          </w:p>
        </w:tc>
      </w:tr>
      <w:tr w:rsidR="00033375" w:rsidTr="00D56B0E">
        <w:trPr>
          <w:trHeight w:val="1462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房建市政领域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pStyle w:val="20"/>
              <w:widowControl/>
              <w:spacing w:line="432" w:lineRule="atLeast"/>
              <w:jc w:val="center"/>
              <w:outlineLvl w:val="1"/>
              <w:rPr>
                <w:rFonts w:ascii="仿宋_GB2312" w:eastAsia="仿宋_GB2312" w:hAnsi="仿宋_GB2312" w:cs="仿宋_GB2312" w:hint="default"/>
                <w:kern w:val="2"/>
              </w:rPr>
            </w:pPr>
            <w:r>
              <w:rPr>
                <w:rFonts w:ascii="仿宋_GB2312" w:eastAsia="仿宋_GB2312" w:hAnsi="仿宋_GB2312" w:cs="仿宋_GB2312"/>
                <w:kern w:val="2"/>
              </w:rPr>
              <w:t>人民西路公共停车场项目</w:t>
            </w:r>
          </w:p>
          <w:p w:rsidR="00033375" w:rsidRDefault="00033375" w:rsidP="00D56B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滁州市城泊车辆服务有限公司、滁州市重点工程建设管理处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投工程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咨询管理有限公司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无</w:t>
            </w:r>
          </w:p>
        </w:tc>
      </w:tr>
      <w:tr w:rsidR="00033375" w:rsidTr="00D56B0E">
        <w:trPr>
          <w:trHeight w:val="1790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4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房建市政领域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紫薇路公园和凤阳路全民健身户外活动基地EPC项目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滁州市园林景观管理中心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投工程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咨询管理有限公司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033375" w:rsidTr="00D56B0E">
        <w:trPr>
          <w:trHeight w:val="1462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房建市政领域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滁州市税务局综合业务办公用房维修改造项目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国家税务总局滁州市税务局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安徽恒信建设工程管理有限公司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033375" w:rsidTr="00D56B0E">
        <w:trPr>
          <w:trHeight w:val="1462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房建市政领域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康养小镇规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二路、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三路、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吾悦板块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经一路（敬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梓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路-人民东路）、滁州中学南地块规划支路（阳明路-仁和路）工程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滁州市明湖建设管理服务中心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投工程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咨询管理有限公司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无</w:t>
            </w:r>
          </w:p>
        </w:tc>
      </w:tr>
      <w:tr w:rsidR="00033375" w:rsidTr="00D56B0E">
        <w:trPr>
          <w:trHeight w:val="1953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房建市政领域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滁州市特种设备安全科普教育基地室内装饰及信息化工程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滁州市特种设备监督检验中心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安徽恒信造价咨询有限公司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033375" w:rsidTr="00D56B0E">
        <w:trPr>
          <w:trHeight w:val="1953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8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房建市政领域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滁州市城市更新示范区第三批项目监理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滁州市建筑勘察设计院有限公司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投工程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咨询管理有限公司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033375" w:rsidTr="00D56B0E">
        <w:trPr>
          <w:trHeight w:val="1953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房建市政领域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人民西路、四小路、邻里路、西涧花园三期周边路网、龙兴路辅道延伸段道路工程—路灯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杆、灯具、电缆、箱变、PE管等采购项目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滁州市重点工程建设管理处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投工程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咨询管理有限公司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033375" w:rsidTr="00D56B0E">
        <w:trPr>
          <w:trHeight w:val="1953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房建市政领域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滁州市科技创新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谷设计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项目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滁州市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通科技有限公司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投工程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咨询管理有限公司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033375" w:rsidTr="00D56B0E">
        <w:trPr>
          <w:trHeight w:val="1953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房建市政领域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石庙安置小区等3所幼儿园装饰装修工程施工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滁州市同创建设投资有限责任公司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安徽佳诚工程咨询有限公司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033375" w:rsidTr="00D56B0E">
        <w:trPr>
          <w:trHeight w:val="1953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12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房建市政领域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滁州市官山城市公益性骨灰堂建设项目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滁州市公墓管理处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投工程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咨询管理有限公司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033375" w:rsidTr="00D56B0E">
        <w:trPr>
          <w:trHeight w:val="1953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房建市政领域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滁州市中西医结合医院医技、内科住院大楼室外道路工程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滁州市中西医结合医院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安徽立地工程咨询有限公司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033375" w:rsidTr="00D56B0E">
        <w:trPr>
          <w:trHeight w:val="1953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房建市政领域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滁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宁城际铁路（经开区段）沿线道路恢复信号灯、电子警察等交通设施工程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滁州市同创建设投资有限责任公司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安徽立地工程咨询有限公司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033375" w:rsidTr="00D56B0E">
        <w:trPr>
          <w:trHeight w:val="1953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房建市政领域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滁州市第四自来水厂扩建项目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滁州市自来水有限公司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投工程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咨询管理有限公司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033375" w:rsidTr="00D56B0E">
        <w:trPr>
          <w:trHeight w:val="1953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16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交通领域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2023年凤阳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县国省干线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危桥改造工程（京山桥、武店桥）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凤阳县公路运输管理服务中心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投工程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咨询管理有限公司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033375" w:rsidTr="00D56B0E">
        <w:trPr>
          <w:trHeight w:val="1953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交通领域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滁州市2023年普通国省干线公路桥梁定期检查项目（二次）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滁州市公路管理服务中心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投工程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咨询管理有限公司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033375" w:rsidTr="00D56B0E">
        <w:trPr>
          <w:trHeight w:val="1953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交通领域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 xml:space="preserve">X006（X010文省路）县道升级改造工程 </w:t>
            </w: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滁州市公路管理服务中心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投工程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咨询管理有限公司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033375" w:rsidTr="00D56B0E">
        <w:trPr>
          <w:trHeight w:val="1953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水利领域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滁州市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清流河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综合治理初步设计及施工图设计项目（二次）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滁州市水利局、滁州市琅琊区水利局、滁州市南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谯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区水利局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合普项目管理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咨询集团有限公司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033375" w:rsidTr="00D56B0E">
        <w:trPr>
          <w:trHeight w:val="1953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20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水利领域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安徽省女山湖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灌区“十四五”续建配套与现代化改造项目（二标段）最高投标限价编制服务项目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滁州市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女山湖引淮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灌溉工程管理处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安徽筑信工程咨询有限公司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033375" w:rsidTr="00D56B0E">
        <w:trPr>
          <w:trHeight w:val="1953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水利领域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安徽省女山湖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灌区“十四五”续建配套与现代化改造项目（一标段）跟踪、结算审计服务项目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滁州市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女山湖引淮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灌溉工程管理处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安徽金川工程咨询有限责任公司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033375" w:rsidTr="00D56B0E">
        <w:trPr>
          <w:trHeight w:val="1953"/>
        </w:trPr>
        <w:tc>
          <w:tcPr>
            <w:tcW w:w="53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</w:p>
        </w:tc>
        <w:tc>
          <w:tcPr>
            <w:tcW w:w="182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其他领域</w:t>
            </w:r>
          </w:p>
        </w:tc>
        <w:tc>
          <w:tcPr>
            <w:tcW w:w="2428" w:type="dxa"/>
            <w:vAlign w:val="center"/>
          </w:tcPr>
          <w:p w:rsidR="00033375" w:rsidRDefault="00033375" w:rsidP="00D56B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</w:rPr>
              <w:t>滁州市生活垃圾中型中转站设备采购及安装工程项目</w:t>
            </w:r>
          </w:p>
        </w:tc>
        <w:tc>
          <w:tcPr>
            <w:tcW w:w="1494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滁州市城市管理行政执法局</w:t>
            </w:r>
          </w:p>
        </w:tc>
        <w:tc>
          <w:tcPr>
            <w:tcW w:w="118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安徽金瑞安工程咨询有限公司</w:t>
            </w:r>
          </w:p>
        </w:tc>
        <w:tc>
          <w:tcPr>
            <w:tcW w:w="1510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169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993" w:type="dxa"/>
            <w:vAlign w:val="center"/>
          </w:tcPr>
          <w:p w:rsidR="00033375" w:rsidRDefault="00033375" w:rsidP="00D56B0E">
            <w:pPr>
              <w:pStyle w:val="2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</w:tbl>
    <w:p w:rsidR="00033375" w:rsidRDefault="00033375" w:rsidP="00033375">
      <w:pPr>
        <w:pStyle w:val="2"/>
        <w:ind w:leftChars="0" w:left="0" w:firstLineChars="0" w:firstLine="0"/>
      </w:pPr>
    </w:p>
    <w:p w:rsidR="003C5F76" w:rsidRDefault="003C5F76">
      <w:bookmarkStart w:id="0" w:name="_GoBack"/>
      <w:bookmarkEnd w:id="0"/>
    </w:p>
    <w:sectPr w:rsidR="003C5F76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75"/>
    <w:rsid w:val="00033375"/>
    <w:rsid w:val="003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D37C-C005-4F23-B446-7C098FDD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033375"/>
    <w:pPr>
      <w:widowControl w:val="0"/>
      <w:jc w:val="both"/>
    </w:pPr>
    <w:rPr>
      <w:szCs w:val="24"/>
    </w:rPr>
  </w:style>
  <w:style w:type="paragraph" w:styleId="20">
    <w:name w:val="heading 2"/>
    <w:basedOn w:val="a"/>
    <w:next w:val="a"/>
    <w:link w:val="2Char"/>
    <w:semiHidden/>
    <w:unhideWhenUsed/>
    <w:qFormat/>
    <w:rsid w:val="00033375"/>
    <w:pPr>
      <w:jc w:val="left"/>
      <w:outlineLvl w:val="1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0"/>
    <w:semiHidden/>
    <w:rsid w:val="00033375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Body Text Indent"/>
    <w:basedOn w:val="a"/>
    <w:link w:val="Char"/>
    <w:uiPriority w:val="99"/>
    <w:semiHidden/>
    <w:unhideWhenUsed/>
    <w:rsid w:val="0003337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33375"/>
    <w:rPr>
      <w:szCs w:val="24"/>
    </w:rPr>
  </w:style>
  <w:style w:type="paragraph" w:styleId="2">
    <w:name w:val="Body Text First Indent 2"/>
    <w:basedOn w:val="a3"/>
    <w:link w:val="2Char0"/>
    <w:qFormat/>
    <w:rsid w:val="00033375"/>
    <w:pPr>
      <w:ind w:firstLineChars="200" w:firstLine="420"/>
    </w:pPr>
  </w:style>
  <w:style w:type="character" w:customStyle="1" w:styleId="2Char0">
    <w:name w:val="正文首行缩进 2 Char"/>
    <w:basedOn w:val="Char"/>
    <w:link w:val="2"/>
    <w:rsid w:val="00033375"/>
    <w:rPr>
      <w:szCs w:val="24"/>
    </w:rPr>
  </w:style>
  <w:style w:type="table" w:styleId="a4">
    <w:name w:val="Table Grid"/>
    <w:basedOn w:val="a1"/>
    <w:qFormat/>
    <w:rsid w:val="0003337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2023-09-05T09:18:00Z</dcterms:created>
  <dcterms:modified xsi:type="dcterms:W3CDTF">2023-09-05T09:19:00Z</dcterms:modified>
</cp:coreProperties>
</file>