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66" w:line="560" w:lineRule="exact"/>
        <w:jc w:val="center"/>
        <w:rPr>
          <w:rFonts w:hint="eastAsia" w:ascii="宋体" w:hAnsi="宋体" w:cs="方正小标宋简体"/>
          <w:b/>
          <w:color w:val="333333"/>
          <w:kern w:val="0"/>
          <w:sz w:val="44"/>
          <w:szCs w:val="44"/>
          <w:shd w:val="clear" w:color="auto" w:fill="FFFFFF"/>
        </w:rPr>
      </w:pPr>
      <w:r>
        <w:rPr>
          <w:sz w:val="20"/>
        </w:rPr>
        <w:pict>
          <v:group id="组合 1" o:spid="_x0000_s2050" o:spt="203" style="position:absolute;left:0pt;margin-left:-8.1pt;margin-top:-1.85pt;height:175.45pt;width:460.5pt;z-index:251658240;mso-width-relative:page;mso-height-relative:page;" coordorigin="1612,1786" coordsize="9000,3449" o:gfxdata="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gZAQCNsAAAAKAQAADwAAAAAAAAABACAAAAAiAAAAZHJzL2Rvd25yZXYueG1sUEsBAhQA&#10;FAAAAAgAh07iQGFe2bvTAgAAtwYAAA4AAAAAAAAAAQAgAAAAKgEAAGRycy9lMm9Eb2MueG1sUEsF&#10;BgAAAAAGAAYAWQEAAG8GAAAAAA==&#10;">
            <o:lock v:ext="edit" aspectratio="f"/>
            <v:rect id="Rectangle 3" o:spid="_x0000_s2051" o:spt="1" style="position:absolute;left:1612;top:1786;height:2097;width:9000;"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path/>
              <v:fill on="f" focussize="0,0"/>
              <v:stroke on="f"/>
              <v:imagedata o:title=""/>
              <o:lock v:ext="edit" aspectratio="f"/>
              <v:textbox>
                <w:txbxContent>
                  <w:p>
                    <w:pPr>
                      <w:jc w:val="center"/>
                      <w:rPr>
                        <w:rFonts w:ascii="方正小标宋简体" w:eastAsia="方正小标宋简体"/>
                        <w:color w:val="FF0000"/>
                        <w:spacing w:val="-2"/>
                        <w:w w:val="50"/>
                        <w:sz w:val="112"/>
                        <w:szCs w:val="112"/>
                      </w:rPr>
                    </w:pPr>
                    <w:r>
                      <w:rPr>
                        <w:rFonts w:hint="eastAsia" w:ascii="方正小标宋简体" w:eastAsia="方正小标宋简体"/>
                        <w:color w:val="FF0000"/>
                        <w:spacing w:val="-2"/>
                        <w:w w:val="50"/>
                        <w:sz w:val="112"/>
                        <w:szCs w:val="112"/>
                      </w:rPr>
                      <w:t>滁州市公共资源交易监督管理局文件</w:t>
                    </w:r>
                  </w:p>
                </w:txbxContent>
              </v:textbox>
            </v:rect>
            <v:line id="Line 4" o:spid="_x0000_s2052" o:spt="20" style="position:absolute;left:1770;top:5235;height:0;width:8842;" filled="f" stroked="t" coordsize="21600,21600" o:gfxdata="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cmWG/&#10;AAAA2gAAAA8AAAAAAAAAAQAgAAAAIgAAAGRycy9kb3ducmV2LnhtbFBLAQIUABQAAAAIAIdO4kAz&#10;LwWeOwAAADkAAAAQAAAAAAAAAAEAIAAAAA4BAABkcnMvc2hhcGV4bWwueG1sUEsFBgAAAAAGAAYA&#10;WwEAALgDAAAAAA==&#10;">
              <v:path arrowok="t"/>
              <v:fill on="f" focussize="0,0"/>
              <v:stroke weight="3pt" color="#FF0000" joinstyle="round"/>
              <v:imagedata o:title=""/>
              <o:lock v:ext="edit" aspectratio="f"/>
            </v:line>
          </v:group>
        </w:pict>
      </w:r>
    </w:p>
    <w:p>
      <w:pPr>
        <w:widowControl/>
        <w:spacing w:after="166" w:line="560" w:lineRule="exact"/>
        <w:jc w:val="center"/>
        <w:rPr>
          <w:rFonts w:hint="eastAsia" w:ascii="宋体" w:hAnsi="宋体" w:cs="方正小标宋简体"/>
          <w:b/>
          <w:color w:val="333333"/>
          <w:kern w:val="0"/>
          <w:sz w:val="44"/>
          <w:szCs w:val="44"/>
          <w:shd w:val="clear" w:color="auto" w:fill="FFFFFF"/>
        </w:rPr>
      </w:pPr>
    </w:p>
    <w:p>
      <w:pPr>
        <w:widowControl/>
        <w:spacing w:after="166" w:line="560" w:lineRule="exact"/>
        <w:jc w:val="center"/>
        <w:rPr>
          <w:rFonts w:hint="eastAsia" w:ascii="宋体" w:hAnsi="宋体" w:cs="方正小标宋简体"/>
          <w:b/>
          <w:color w:val="333333"/>
          <w:kern w:val="0"/>
          <w:sz w:val="44"/>
          <w:szCs w:val="44"/>
          <w:shd w:val="clear" w:color="auto" w:fill="FFFFFF"/>
        </w:rPr>
      </w:pPr>
    </w:p>
    <w:p>
      <w:pPr>
        <w:widowControl/>
        <w:spacing w:after="166" w:line="560" w:lineRule="exact"/>
        <w:jc w:val="center"/>
        <w:rPr>
          <w:rFonts w:hint="eastAsia" w:ascii="宋体" w:hAnsi="宋体" w:cs="方正小标宋简体"/>
          <w:b/>
          <w:color w:val="333333"/>
          <w:kern w:val="0"/>
          <w:sz w:val="44"/>
          <w:szCs w:val="44"/>
          <w:shd w:val="clear" w:color="auto" w:fill="FFFFFF"/>
        </w:rPr>
      </w:pPr>
    </w:p>
    <w:p>
      <w:pPr>
        <w:adjustRightInd/>
        <w:spacing w:line="240" w:lineRule="auto"/>
        <w:jc w:val="center"/>
        <w:textAlignment w:val="auto"/>
        <w:rPr>
          <w:rFonts w:ascii="方正小标宋简体" w:eastAsia="方正小标宋简体"/>
          <w:color w:val="FF0000"/>
          <w:spacing w:val="-2"/>
          <w:w w:val="50"/>
          <w:sz w:val="126"/>
          <w:szCs w:val="126"/>
        </w:rPr>
      </w:pPr>
      <w:r>
        <w:rPr>
          <w:rFonts w:hint="eastAsia" w:ascii="仿宋_GB2312" w:hAnsi="方正小标宋简体" w:eastAsia="仿宋_GB2312" w:cs="方正小标宋简体"/>
          <w:sz w:val="32"/>
          <w:szCs w:val="32"/>
        </w:rPr>
        <w:t>滁公管〔20</w:t>
      </w:r>
      <w:r>
        <w:rPr>
          <w:rFonts w:hint="eastAsia" w:ascii="仿宋_GB2312" w:hAnsi="方正小标宋简体" w:eastAsia="仿宋_GB2312" w:cs="方正小标宋简体"/>
          <w:sz w:val="32"/>
          <w:szCs w:val="32"/>
          <w:lang w:val="en-US" w:eastAsia="zh-CN"/>
        </w:rPr>
        <w:t>22</w:t>
      </w:r>
      <w:r>
        <w:rPr>
          <w:rFonts w:hint="eastAsia" w:ascii="仿宋_GB2312" w:hAnsi="方正小标宋简体" w:eastAsia="仿宋_GB2312" w:cs="方正小标宋简体"/>
          <w:sz w:val="32"/>
          <w:szCs w:val="32"/>
        </w:rPr>
        <w:t>〕</w:t>
      </w:r>
      <w:r>
        <w:rPr>
          <w:rFonts w:hint="eastAsia" w:ascii="仿宋_GB2312" w:hAnsi="方正小标宋简体" w:eastAsia="仿宋_GB2312" w:cs="方正小标宋简体"/>
          <w:sz w:val="32"/>
          <w:szCs w:val="32"/>
          <w:lang w:val="en-US" w:eastAsia="zh-CN"/>
        </w:rPr>
        <w:t>3</w:t>
      </w:r>
      <w:r>
        <w:rPr>
          <w:rFonts w:hint="eastAsia" w:ascii="仿宋_GB2312" w:hAnsi="方正小标宋简体" w:eastAsia="仿宋_GB2312" w:cs="方正小标宋简体"/>
          <w:sz w:val="32"/>
          <w:szCs w:val="32"/>
        </w:rPr>
        <w:t>号</w:t>
      </w:r>
    </w:p>
    <w:p>
      <w:pPr>
        <w:widowControl/>
        <w:spacing w:after="166" w:line="560" w:lineRule="exact"/>
        <w:jc w:val="center"/>
        <w:rPr>
          <w:rFonts w:hint="eastAsia" w:ascii="宋体" w:hAnsi="宋体" w:cs="方正小标宋简体"/>
          <w:b/>
          <w:color w:val="333333"/>
          <w:kern w:val="0"/>
          <w:sz w:val="44"/>
          <w:szCs w:val="44"/>
          <w:shd w:val="clear" w:color="auto" w:fill="FFFFFF"/>
        </w:rPr>
      </w:pPr>
    </w:p>
    <w:p>
      <w:pPr>
        <w:widowControl/>
        <w:spacing w:after="166" w:line="560" w:lineRule="exact"/>
        <w:ind w:firstLine="618"/>
        <w:jc w:val="center"/>
        <w:rPr>
          <w:rFonts w:hint="eastAsia" w:ascii="仿宋_GB2312" w:hAnsi="仿宋" w:eastAsia="仿宋_GB2312" w:cs="仿宋"/>
          <w:b/>
          <w:color w:val="000000"/>
          <w:kern w:val="0"/>
          <w:sz w:val="32"/>
          <w:szCs w:val="32"/>
          <w:shd w:val="clear" w:color="auto" w:fill="FFFFFF"/>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关于修订《滁州市公共资源交易竞争主体及相关人员不良行为记录及披露管理</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暂行办法》的通知</w:t>
      </w:r>
    </w:p>
    <w:p>
      <w:pPr>
        <w:spacing w:line="560" w:lineRule="exact"/>
        <w:ind w:firstLine="64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各县、市、区公管局，市局各科室、交易中心：</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建立健全滁州市公共资源交易市场信用体系，进一步规范竞争主体交易活动，依据《滁州市公共资源交易活动管理办法（试行）》等相关规定，结合我市实际，修订《滁州市公共资源交易竞争主体及相关人员不良行为记录及披露管理暂行办法》，请遵照执行。</w:t>
      </w:r>
    </w:p>
    <w:p>
      <w:pPr>
        <w:spacing w:line="560" w:lineRule="exact"/>
        <w:ind w:firstLine="640"/>
        <w:rPr>
          <w:rFonts w:ascii="仿宋_GB2312" w:hAnsi="仿宋_GB2312" w:eastAsia="仿宋_GB2312" w:cs="仿宋_GB2312"/>
          <w:sz w:val="32"/>
          <w:szCs w:val="32"/>
        </w:rPr>
      </w:pPr>
    </w:p>
    <w:p>
      <w:pPr>
        <w:pStyle w:val="2"/>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420" w:rightChars="200" w:firstLine="0" w:firstLineChars="0"/>
        <w:jc w:val="righ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月16日</w:t>
      </w:r>
    </w:p>
    <w:p>
      <w:pPr>
        <w:spacing w:line="560" w:lineRule="exact"/>
        <w:jc w:val="both"/>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滁州市公共资源交易竞争主体及相关人员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不良行为记录及披露管理暂行办法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left"/>
        <w:textAlignment w:val="auto"/>
        <w:outlineLvl w:val="9"/>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第一条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为建立健全滁州市公共资源交易市场信用体系，进一步规范竞争主体交易活动，依据《滁州市公共资源交易活动管理办法（试行）》等相关规定，结合我市实际，制定本办法。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第二条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在我市行政区域内参加公共资源交易活动的竞争主体及相关人员不良行为的记录及披露管理，适用本办法。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本办法所称竞争主体是指参加公共资源交易活动的投标人、供应商和竞买人等市场主体；相关人员是指前述竞争主体中投标人、供应商的直接负责的主管人员和其他直接责任人员以及其他相关人员。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不良行为是指竞争主体及相关人员在本市行政区域内进行的工程建设、政府采购、国有产权交易、国有建设用地使用权和矿业权出让、农村产权交易等公共资源交易活动中违反法律、法规、规章规定以及其他扰乱市场秩序的行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第三条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滁州市公共资源交易监督管理局负责建立竞争主体及相关人员不良行为档案，实行统一监督管理。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第四条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不良行为记录实行计分制，认定标准和记录分数详见附件。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第五条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不良行为的认定及记录程序：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告知。</w:t>
      </w:r>
      <w:r>
        <w:rPr>
          <w:rFonts w:hint="eastAsia" w:ascii="仿宋_GB2312" w:hAnsi="仿宋_GB2312" w:eastAsia="仿宋_GB2312" w:cs="仿宋_GB2312"/>
          <w:sz w:val="32"/>
          <w:szCs w:val="32"/>
        </w:rPr>
        <w:t>依据本办法对竞争主体及相关人员违反法律、法规、规章规定以及其他扰乱市场秩序的行为进行书面告知，竞争主体及相关人员如有异议，应当在3个工作日内书面提出，并提供相关证据材料；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2、认定。</w:t>
      </w:r>
      <w:r>
        <w:rPr>
          <w:rFonts w:hint="eastAsia" w:ascii="仿宋_GB2312" w:hAnsi="仿宋_GB2312" w:eastAsia="仿宋_GB2312" w:cs="仿宋_GB2312"/>
          <w:sz w:val="32"/>
          <w:szCs w:val="32"/>
        </w:rPr>
        <w:t>依据本办法相关规定，将认定意见报滁州市公共资源交易监督管理局批准后，形成不良行为认定书；</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3、记录。</w:t>
      </w:r>
      <w:r>
        <w:rPr>
          <w:rFonts w:hint="eastAsia" w:ascii="仿宋_GB2312" w:hAnsi="仿宋_GB2312" w:eastAsia="仿宋_GB2312" w:cs="仿宋_GB2312"/>
          <w:sz w:val="32"/>
          <w:szCs w:val="32"/>
        </w:rPr>
        <w:t>应当在不良行为认定书下发后的2个工作日之内记入不良行为档案。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竞争主体及相关人员不良行为在记录时应同步进行信息披露，披露媒介为滁州市公共资源交易中心网站等媒体，披露期满后不良行为记录分数清零。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竞争主体及相关人员不良行为记录分数1分的，信息披露期为1个月;每增加1分，信息披露期增加1个月。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竞争主体及相关人员在一年内（连续12个月）出现二次以上（含二次）信息披露的，第二次（及以上）信息披露期间最短5个月。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cs="黑体"/>
          <w:b w:val="0"/>
          <w:bCs/>
          <w:sz w:val="32"/>
          <w:szCs w:val="32"/>
        </w:rPr>
        <w:t>第七条</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除本办法第九条列举的情形外，竞争主体及相关人员按照要求消除不良影响、重塑良好信用的，可申请不良行为信息修复。</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cs="黑体"/>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信息修复的，由</w:t>
      </w:r>
      <w:r>
        <w:rPr>
          <w:rFonts w:hint="eastAsia" w:ascii="仿宋_GB2312" w:hAnsi="仿宋_GB2312" w:eastAsia="仿宋_GB2312" w:cs="仿宋_GB2312"/>
          <w:sz w:val="32"/>
          <w:szCs w:val="32"/>
        </w:rPr>
        <w:t>做出</w:t>
      </w:r>
      <w:r>
        <w:rPr>
          <w:rFonts w:ascii="仿宋_GB2312" w:hAnsi="仿宋_GB2312" w:eastAsia="仿宋_GB2312" w:cs="仿宋_GB2312"/>
          <w:sz w:val="32"/>
          <w:szCs w:val="32"/>
        </w:rPr>
        <w:t>不良行为认定的</w:t>
      </w:r>
      <w:r>
        <w:rPr>
          <w:rFonts w:hint="eastAsia" w:ascii="仿宋_GB2312" w:hAnsi="仿宋_GB2312" w:eastAsia="仿宋_GB2312" w:cs="仿宋_GB2312"/>
          <w:sz w:val="32"/>
          <w:szCs w:val="32"/>
        </w:rPr>
        <w:t>部门</w:t>
      </w:r>
      <w:r>
        <w:rPr>
          <w:rFonts w:ascii="仿宋_GB2312" w:hAnsi="仿宋_GB2312" w:eastAsia="仿宋_GB2312" w:cs="仿宋_GB2312"/>
          <w:sz w:val="32"/>
          <w:szCs w:val="32"/>
        </w:rPr>
        <w:t>确定披露期</w:t>
      </w:r>
      <w:r>
        <w:rPr>
          <w:rFonts w:hint="eastAsia" w:ascii="仿宋_GB2312" w:hAnsi="仿宋_GB2312" w:eastAsia="仿宋_GB2312" w:cs="仿宋_GB2312"/>
          <w:sz w:val="32"/>
          <w:szCs w:val="32"/>
        </w:rPr>
        <w:t>缩短</w:t>
      </w:r>
      <w:r>
        <w:rPr>
          <w:rFonts w:ascii="仿宋_GB2312" w:hAnsi="仿宋_GB2312" w:eastAsia="仿宋_GB2312" w:cs="仿宋_GB2312"/>
          <w:sz w:val="32"/>
          <w:szCs w:val="32"/>
        </w:rPr>
        <w:t>时间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不良</w:t>
      </w:r>
      <w:r>
        <w:rPr>
          <w:rFonts w:hint="eastAsia" w:ascii="仿宋_GB2312" w:hAnsi="仿宋_GB2312" w:eastAsia="仿宋_GB2312" w:cs="仿宋_GB2312"/>
          <w:sz w:val="32"/>
          <w:szCs w:val="32"/>
        </w:rPr>
        <w:t>行为</w:t>
      </w:r>
      <w:r>
        <w:rPr>
          <w:rFonts w:ascii="仿宋_GB2312" w:hAnsi="仿宋_GB2312" w:eastAsia="仿宋_GB2312" w:cs="仿宋_GB2312"/>
          <w:sz w:val="32"/>
          <w:szCs w:val="32"/>
        </w:rPr>
        <w:t>记录</w:t>
      </w:r>
      <w:r>
        <w:rPr>
          <w:rFonts w:hint="eastAsia" w:ascii="仿宋_GB2312" w:hAnsi="仿宋_GB2312" w:eastAsia="仿宋_GB2312" w:cs="仿宋_GB2312"/>
          <w:sz w:val="32"/>
          <w:szCs w:val="32"/>
        </w:rPr>
        <w:t>5分以内</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（含5分），申请修复</w:t>
      </w:r>
      <w:r>
        <w:rPr>
          <w:rFonts w:ascii="仿宋_GB2312" w:hAnsi="仿宋_GB2312" w:eastAsia="仿宋_GB2312" w:cs="仿宋_GB2312"/>
          <w:sz w:val="32"/>
          <w:szCs w:val="32"/>
        </w:rPr>
        <w:t>后，披露期</w:t>
      </w:r>
      <w:r>
        <w:rPr>
          <w:rFonts w:hint="eastAsia" w:ascii="仿宋_GB2312" w:hAnsi="仿宋_GB2312" w:eastAsia="仿宋_GB2312" w:cs="仿宋_GB2312"/>
          <w:sz w:val="32"/>
          <w:szCs w:val="32"/>
        </w:rPr>
        <w:t>最短</w:t>
      </w:r>
      <w:r>
        <w:rPr>
          <w:rFonts w:ascii="仿宋_GB2312" w:hAnsi="仿宋_GB2312" w:eastAsia="仿宋_GB2312" w:cs="仿宋_GB2312"/>
          <w:sz w:val="32"/>
          <w:szCs w:val="32"/>
        </w:rPr>
        <w:t>不得少于</w:t>
      </w:r>
      <w:r>
        <w:rPr>
          <w:rFonts w:hint="eastAsia" w:ascii="仿宋_GB2312" w:hAnsi="仿宋_GB2312" w:eastAsia="仿宋_GB2312" w:cs="仿宋_GB2312"/>
          <w:sz w:val="32"/>
          <w:szCs w:val="32"/>
        </w:rPr>
        <w:t>2个</w:t>
      </w:r>
      <w:r>
        <w:rPr>
          <w:rFonts w:ascii="仿宋_GB2312" w:hAnsi="仿宋_GB2312" w:eastAsia="仿宋_GB2312" w:cs="仿宋_GB2312"/>
          <w:sz w:val="32"/>
          <w:szCs w:val="32"/>
        </w:rPr>
        <w:t>月；不良行为记录</w:t>
      </w:r>
      <w:r>
        <w:rPr>
          <w:rFonts w:hint="eastAsia" w:ascii="仿宋_GB2312" w:hAnsi="仿宋_GB2312" w:eastAsia="仿宋_GB2312" w:cs="仿宋_GB2312"/>
          <w:sz w:val="32"/>
          <w:szCs w:val="32"/>
        </w:rPr>
        <w:t>6分以上</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（含6分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w:t>
      </w:r>
      <w:r>
        <w:rPr>
          <w:rFonts w:hint="eastAsia" w:ascii="仿宋_GB2312" w:hAnsi="仿宋_GB2312" w:eastAsia="仿宋_GB2312" w:cs="仿宋_GB2312"/>
          <w:sz w:val="32"/>
          <w:szCs w:val="32"/>
        </w:rPr>
        <w:t>修复</w:t>
      </w:r>
      <w:r>
        <w:rPr>
          <w:rFonts w:ascii="仿宋_GB2312" w:hAnsi="仿宋_GB2312" w:eastAsia="仿宋_GB2312" w:cs="仿宋_GB2312"/>
          <w:sz w:val="32"/>
          <w:szCs w:val="32"/>
        </w:rPr>
        <w:t>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披露期</w:t>
      </w:r>
      <w:r>
        <w:rPr>
          <w:rFonts w:hint="eastAsia" w:ascii="仿宋_GB2312" w:hAnsi="仿宋_GB2312" w:eastAsia="仿宋_GB2312" w:cs="仿宋_GB2312"/>
          <w:sz w:val="32"/>
          <w:szCs w:val="32"/>
        </w:rPr>
        <w:t>最短</w:t>
      </w:r>
      <w:r>
        <w:rPr>
          <w:rFonts w:ascii="仿宋_GB2312" w:hAnsi="仿宋_GB2312" w:eastAsia="仿宋_GB2312" w:cs="仿宋_GB2312"/>
          <w:sz w:val="32"/>
          <w:szCs w:val="32"/>
        </w:rPr>
        <w:t>不得少于</w:t>
      </w:r>
      <w:r>
        <w:rPr>
          <w:rFonts w:hint="eastAsia" w:ascii="仿宋_GB2312" w:hAnsi="仿宋_GB2312" w:eastAsia="仿宋_GB2312" w:cs="仿宋_GB2312"/>
          <w:sz w:val="32"/>
          <w:szCs w:val="32"/>
        </w:rPr>
        <w:t>4个月；不良</w:t>
      </w:r>
      <w:r>
        <w:rPr>
          <w:rFonts w:ascii="仿宋_GB2312" w:hAnsi="仿宋_GB2312" w:eastAsia="仿宋_GB2312" w:cs="仿宋_GB2312"/>
          <w:sz w:val="32"/>
          <w:szCs w:val="32"/>
        </w:rPr>
        <w:t>行为记录</w:t>
      </w:r>
      <w:r>
        <w:rPr>
          <w:rFonts w:hint="eastAsia" w:ascii="仿宋_GB2312" w:hAnsi="仿宋_GB2312" w:eastAsia="仿宋_GB2312" w:cs="仿宋_GB2312"/>
          <w:sz w:val="32"/>
          <w:szCs w:val="32"/>
        </w:rPr>
        <w:t>12分</w:t>
      </w:r>
      <w:r>
        <w:rPr>
          <w:rFonts w:ascii="仿宋_GB2312" w:hAnsi="仿宋_GB2312" w:eastAsia="仿宋_GB2312" w:cs="仿宋_GB2312"/>
          <w:sz w:val="32"/>
          <w:szCs w:val="32"/>
        </w:rPr>
        <w:t>，申请修复后，披露期</w:t>
      </w:r>
      <w:r>
        <w:rPr>
          <w:rFonts w:hint="eastAsia" w:ascii="仿宋_GB2312" w:hAnsi="仿宋_GB2312" w:eastAsia="仿宋_GB2312" w:cs="仿宋_GB2312"/>
          <w:sz w:val="32"/>
          <w:szCs w:val="32"/>
        </w:rPr>
        <w:t>最短</w:t>
      </w:r>
      <w:r>
        <w:rPr>
          <w:rFonts w:ascii="仿宋_GB2312" w:hAnsi="仿宋_GB2312" w:eastAsia="仿宋_GB2312" w:cs="仿宋_GB2312"/>
          <w:sz w:val="32"/>
          <w:szCs w:val="32"/>
        </w:rPr>
        <w:t>不得少于</w:t>
      </w:r>
      <w:r>
        <w:rPr>
          <w:rFonts w:hint="eastAsia" w:ascii="仿宋_GB2312" w:hAnsi="仿宋_GB2312" w:eastAsia="仿宋_GB2312" w:cs="仿宋_GB2312"/>
          <w:sz w:val="32"/>
          <w:szCs w:val="32"/>
        </w:rPr>
        <w:t>6个</w:t>
      </w:r>
      <w:r>
        <w:rPr>
          <w:rFonts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i/>
          <w:iCs/>
          <w:sz w:val="32"/>
          <w:szCs w:val="32"/>
        </w:rPr>
      </w:pPr>
      <w:r>
        <w:rPr>
          <w:rFonts w:hint="eastAsia" w:ascii="黑体" w:hAnsi="黑体" w:eastAsia="黑体"/>
          <w:sz w:val="32"/>
          <w:szCs w:val="32"/>
        </w:rPr>
        <w:t>第九条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不良行为信息不可修复情形：</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1、不良行为记录2分以内（含2分）的，披露期内</w:t>
      </w:r>
      <w:r>
        <w:rPr>
          <w:rFonts w:ascii="仿宋_GB2312" w:hAnsi="仿宋_GB2312" w:eastAsia="仿宋_GB2312" w:cs="仿宋_GB2312"/>
          <w:sz w:val="32"/>
          <w:szCs w:val="32"/>
        </w:rPr>
        <w:t>不可修复，</w:t>
      </w:r>
      <w:r>
        <w:rPr>
          <w:rFonts w:hint="eastAsia" w:ascii="仿宋_GB2312" w:hAnsi="仿宋_GB2312" w:eastAsia="仿宋_GB2312" w:cs="仿宋_GB2312"/>
          <w:sz w:val="32"/>
          <w:szCs w:val="32"/>
        </w:rPr>
        <w:t>按照</w:t>
      </w:r>
      <w:r>
        <w:rPr>
          <w:rFonts w:ascii="仿宋_GB2312" w:hAnsi="仿宋_GB2312" w:eastAsia="仿宋_GB2312" w:cs="仿宋_GB2312"/>
          <w:sz w:val="32"/>
          <w:szCs w:val="32"/>
        </w:rPr>
        <w:t>记录分</w:t>
      </w:r>
      <w:r>
        <w:rPr>
          <w:rFonts w:hint="eastAsia" w:ascii="仿宋_GB2312" w:hAnsi="仿宋_GB2312" w:eastAsia="仿宋_GB2312" w:cs="仿宋_GB2312"/>
          <w:sz w:val="32"/>
          <w:szCs w:val="32"/>
        </w:rPr>
        <w:t>值对应</w:t>
      </w:r>
      <w:r>
        <w:rPr>
          <w:rFonts w:ascii="仿宋_GB2312" w:hAnsi="仿宋_GB2312" w:eastAsia="仿宋_GB2312" w:cs="仿宋_GB2312"/>
          <w:sz w:val="32"/>
          <w:szCs w:val="32"/>
        </w:rPr>
        <w:t>的披露期</w:t>
      </w:r>
      <w:r>
        <w:rPr>
          <w:rFonts w:hint="eastAsia" w:ascii="仿宋_GB2312" w:hAnsi="仿宋_GB2312" w:eastAsia="仿宋_GB2312" w:cs="仿宋_GB2312"/>
          <w:sz w:val="32"/>
          <w:szCs w:val="32"/>
        </w:rPr>
        <w:t>公示</w:t>
      </w:r>
      <w:r>
        <w:rPr>
          <w:rFonts w:ascii="仿宋_GB2312" w:hAnsi="仿宋_GB2312" w:eastAsia="仿宋_GB2312" w:cs="仿宋_GB2312"/>
          <w:sz w:val="32"/>
          <w:szCs w:val="32"/>
        </w:rPr>
        <w:t>，到期后</w:t>
      </w:r>
      <w:r>
        <w:rPr>
          <w:rFonts w:hint="eastAsia" w:ascii="仿宋_GB2312" w:hAnsi="仿宋_GB2312" w:eastAsia="仿宋_GB2312" w:cs="仿宋_GB2312"/>
          <w:sz w:val="32"/>
          <w:szCs w:val="32"/>
        </w:rPr>
        <w:t>信息</w:t>
      </w:r>
      <w:r>
        <w:rPr>
          <w:rFonts w:ascii="仿宋_GB2312" w:hAnsi="仿宋_GB2312" w:eastAsia="仿宋_GB2312" w:cs="仿宋_GB2312"/>
          <w:sz w:val="32"/>
          <w:szCs w:val="32"/>
        </w:rPr>
        <w:t>下网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2、二年内（连续</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个月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出现二次以上（含二次）不良行为被滁州市公共资源交易中心网站披露的，第二次（及</w:t>
      </w:r>
      <w:r>
        <w:rPr>
          <w:rFonts w:ascii="仿宋_GB2312" w:hAnsi="仿宋_GB2312" w:eastAsia="仿宋_GB2312" w:cs="仿宋_GB2312"/>
          <w:sz w:val="32"/>
          <w:szCs w:val="32"/>
        </w:rPr>
        <w:t>以上）</w:t>
      </w:r>
      <w:r>
        <w:rPr>
          <w:rFonts w:hint="eastAsia" w:ascii="仿宋_GB2312" w:hAnsi="仿宋_GB2312" w:eastAsia="仿宋_GB2312" w:cs="仿宋_GB2312"/>
          <w:sz w:val="32"/>
          <w:szCs w:val="32"/>
        </w:rPr>
        <w:t>不良行为信息在</w:t>
      </w:r>
      <w:r>
        <w:rPr>
          <w:rFonts w:ascii="仿宋_GB2312" w:hAnsi="仿宋_GB2312" w:eastAsia="仿宋_GB2312" w:cs="仿宋_GB2312"/>
          <w:sz w:val="32"/>
          <w:szCs w:val="32"/>
        </w:rPr>
        <w:t>披露期</w:t>
      </w:r>
      <w:r>
        <w:rPr>
          <w:rFonts w:hint="eastAsia" w:ascii="仿宋_GB2312" w:hAnsi="仿宋_GB2312" w:eastAsia="仿宋_GB2312" w:cs="仿宋_GB2312"/>
          <w:sz w:val="32"/>
          <w:szCs w:val="32"/>
        </w:rPr>
        <w:t>内</w:t>
      </w:r>
      <w:r>
        <w:rPr>
          <w:rFonts w:ascii="仿宋_GB2312" w:hAnsi="仿宋_GB2312" w:eastAsia="仿宋_GB2312" w:cs="仿宋_GB2312"/>
          <w:sz w:val="32"/>
          <w:szCs w:val="32"/>
        </w:rPr>
        <w:t>不可修复，</w:t>
      </w:r>
      <w:r>
        <w:rPr>
          <w:rFonts w:hint="eastAsia" w:ascii="仿宋_GB2312" w:hAnsi="仿宋_GB2312" w:eastAsia="仿宋_GB2312" w:cs="仿宋_GB2312"/>
          <w:sz w:val="32"/>
          <w:szCs w:val="32"/>
        </w:rPr>
        <w:t>按照</w:t>
      </w:r>
      <w:r>
        <w:rPr>
          <w:rFonts w:ascii="仿宋_GB2312" w:hAnsi="仿宋_GB2312" w:eastAsia="仿宋_GB2312" w:cs="仿宋_GB2312"/>
          <w:sz w:val="32"/>
          <w:szCs w:val="32"/>
        </w:rPr>
        <w:t>记录分</w:t>
      </w:r>
      <w:r>
        <w:rPr>
          <w:rFonts w:hint="eastAsia" w:ascii="仿宋_GB2312" w:hAnsi="仿宋_GB2312" w:eastAsia="仿宋_GB2312" w:cs="仿宋_GB2312"/>
          <w:sz w:val="32"/>
          <w:szCs w:val="32"/>
        </w:rPr>
        <w:t>值对应</w:t>
      </w:r>
      <w:r>
        <w:rPr>
          <w:rFonts w:ascii="仿宋_GB2312" w:hAnsi="仿宋_GB2312" w:eastAsia="仿宋_GB2312" w:cs="仿宋_GB2312"/>
          <w:sz w:val="32"/>
          <w:szCs w:val="32"/>
        </w:rPr>
        <w:t>的披露期</w:t>
      </w:r>
      <w:r>
        <w:rPr>
          <w:rFonts w:hint="eastAsia" w:ascii="仿宋_GB2312" w:hAnsi="仿宋_GB2312" w:eastAsia="仿宋_GB2312" w:cs="仿宋_GB2312"/>
          <w:sz w:val="32"/>
          <w:szCs w:val="32"/>
        </w:rPr>
        <w:t>公示</w:t>
      </w:r>
      <w:r>
        <w:rPr>
          <w:rFonts w:ascii="仿宋_GB2312" w:hAnsi="仿宋_GB2312" w:eastAsia="仿宋_GB2312" w:cs="仿宋_GB2312"/>
          <w:sz w:val="32"/>
          <w:szCs w:val="32"/>
        </w:rPr>
        <w:t>，到期后</w:t>
      </w:r>
      <w:r>
        <w:rPr>
          <w:rFonts w:hint="eastAsia" w:ascii="仿宋_GB2312" w:hAnsi="仿宋_GB2312" w:eastAsia="仿宋_GB2312" w:cs="仿宋_GB2312"/>
          <w:sz w:val="32"/>
          <w:szCs w:val="32"/>
        </w:rPr>
        <w:t>信息</w:t>
      </w:r>
      <w:r>
        <w:rPr>
          <w:rFonts w:ascii="仿宋_GB2312" w:hAnsi="仿宋_GB2312" w:eastAsia="仿宋_GB2312" w:cs="仿宋_GB2312"/>
          <w:sz w:val="32"/>
          <w:szCs w:val="32"/>
        </w:rPr>
        <w:t>下网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rPr>
        <w:t>第十条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不良行为信息修复程序：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1.竞争主体及相关人员向作出不良行为认定的部门递交修复申请表、信用（不良行为）修复承诺书、身份证明（登记证件）复印件、参加信用培训证明材料、信用报告、罚款缴纳证明等材料；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2.作出不良行为认定的部门审核后，在3个工作日内完成信用修复。</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w:t>
      </w:r>
      <w:r>
        <w:rPr>
          <w:rFonts w:hint="eastAsia" w:ascii="黑体" w:hAnsi="黑体" w:eastAsia="黑体"/>
          <w:sz w:val="32"/>
          <w:szCs w:val="32"/>
        </w:rPr>
        <w:t>第十一条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县（市）区公共资源交易监督管理部门对竞争主体及相关人员不良行为记录及披露管理应按本办法规定遵照执行。</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sz w:val="32"/>
          <w:szCs w:val="32"/>
        </w:rPr>
        <w:t>第十二条</w:t>
      </w:r>
      <w:r>
        <w:rPr>
          <w:rFonts w:hint="eastAsia" w:ascii="仿宋_GB2312" w:hAnsi="仿宋_GB2312" w:eastAsia="仿宋_GB2312" w:cs="仿宋_GB2312"/>
          <w:sz w:val="32"/>
          <w:szCs w:val="32"/>
        </w:rPr>
        <w:t xml:space="preserve"> </w:t>
      </w:r>
      <w:bookmarkStart w:id="0" w:name="_Hlk39821253"/>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本办法由滁州市公共资源交易监督管理局负责解释</w:t>
      </w:r>
      <w:bookmarkEnd w:id="0"/>
      <w:r>
        <w:rPr>
          <w:rFonts w:hint="eastAsia" w:ascii="仿宋_GB2312" w:hAnsi="仿宋_GB2312" w:eastAsia="仿宋_GB2312" w:cs="仿宋_GB2312"/>
          <w:sz w:val="32"/>
          <w:szCs w:val="32"/>
        </w:rPr>
        <w:t>，自印发之日起施行，原《办法》同时废止。</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附件：滁州市公共资源交易竞争主体及相关人员不良行为认</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1468" w:firstLineChars="459"/>
        <w:jc w:val="both"/>
        <w:textAlignment w:val="auto"/>
        <w:outlineLvl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定及记录标准</w:t>
      </w:r>
    </w:p>
    <w:p>
      <w:pPr>
        <w:jc w:val="both"/>
      </w:pPr>
    </w:p>
    <w:p>
      <w:pPr>
        <w:pStyle w:val="2"/>
        <w:ind w:left="0" w:leftChars="0" w:firstLine="0" w:firstLineChars="0"/>
      </w:pPr>
      <w:bookmarkStart w:id="1" w:name="_GoBack"/>
      <w:bookmarkEnd w:id="1"/>
    </w:p>
    <w:p>
      <w:pPr>
        <w:pStyle w:val="2"/>
        <w:keepNext w:val="0"/>
        <w:keepLines w:val="0"/>
        <w:pageBreakBefore w:val="0"/>
        <w:widowControl w:val="0"/>
        <w:kinsoku/>
        <w:wordWrap/>
        <w:overflowPunct/>
        <w:topLinePunct w:val="0"/>
        <w:autoSpaceDE/>
        <w:autoSpaceDN/>
        <w:bidi w:val="0"/>
        <w:adjustRightInd/>
        <w:snapToGrid/>
        <w:spacing w:after="120" w:line="240" w:lineRule="auto"/>
        <w:ind w:left="0" w:leftChars="0" w:right="0" w:rightChars="0" w:firstLine="0" w:firstLineChars="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bl>
      <w:tblPr>
        <w:tblStyle w:val="11"/>
        <w:tblW w:w="10320" w:type="dxa"/>
        <w:tblInd w:w="93" w:type="dxa"/>
        <w:tblLayout w:type="fixed"/>
        <w:tblCellMar>
          <w:top w:w="0" w:type="dxa"/>
          <w:left w:w="108" w:type="dxa"/>
          <w:bottom w:w="0" w:type="dxa"/>
          <w:right w:w="108" w:type="dxa"/>
        </w:tblCellMar>
      </w:tblPr>
      <w:tblGrid>
        <w:gridCol w:w="1230"/>
        <w:gridCol w:w="5305"/>
        <w:gridCol w:w="1348"/>
        <w:gridCol w:w="1488"/>
        <w:gridCol w:w="949"/>
      </w:tblGrid>
      <w:tr>
        <w:tblPrEx>
          <w:tblLayout w:type="fixed"/>
          <w:tblCellMar>
            <w:top w:w="0" w:type="dxa"/>
            <w:left w:w="108" w:type="dxa"/>
            <w:bottom w:w="0" w:type="dxa"/>
            <w:right w:w="108" w:type="dxa"/>
          </w:tblCellMar>
        </w:tblPrEx>
        <w:trPr>
          <w:trHeight w:val="1180" w:hRule="atLeast"/>
        </w:trPr>
        <w:tc>
          <w:tcPr>
            <w:tcW w:w="9371" w:type="dxa"/>
            <w:gridSpan w:val="4"/>
            <w:tcBorders>
              <w:top w:val="nil"/>
              <w:left w:val="nil"/>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方正小标宋简体" w:hAnsi="方正小标宋简体" w:eastAsia="方正小标宋简体" w:cs="方正小标宋简体"/>
                <w:b/>
                <w:bCs/>
                <w:color w:val="000000"/>
                <w:sz w:val="36"/>
                <w:szCs w:val="36"/>
              </w:rPr>
            </w:pPr>
            <w:r>
              <w:rPr>
                <w:rFonts w:ascii="方正小标宋简体" w:hAnsi="方正小标宋简体" w:eastAsia="方正小标宋简体" w:cs="方正小标宋简体"/>
                <w:b w:val="0"/>
                <w:bCs w:val="0"/>
                <w:color w:val="000000"/>
                <w:kern w:val="0"/>
                <w:sz w:val="44"/>
                <w:szCs w:val="44"/>
                <w:lang w:bidi="ar"/>
              </w:rPr>
              <w:t>滁州市公共资源交易竞争主体及相关人员不良行为认定及记录标准</w:t>
            </w:r>
          </w:p>
        </w:tc>
        <w:tc>
          <w:tcPr>
            <w:tcW w:w="949" w:type="dxa"/>
            <w:tcBorders>
              <w:top w:val="nil"/>
              <w:left w:val="nil"/>
              <w:bottom w:val="nil"/>
              <w:right w:val="nil"/>
            </w:tcBorders>
            <w:vAlign w:val="center"/>
          </w:tcPr>
          <w:p>
            <w:pPr>
              <w:jc w:val="center"/>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642" w:hRule="atLeast"/>
        </w:trPr>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b w:val="0"/>
                <w:bCs w:val="0"/>
                <w:color w:val="000000"/>
                <w:sz w:val="22"/>
              </w:rPr>
            </w:pPr>
            <w:r>
              <w:rPr>
                <w:rFonts w:hint="eastAsia" w:ascii="黑体" w:hAnsi="黑体" w:eastAsia="黑体" w:cs="黑体"/>
                <w:b w:val="0"/>
                <w:bCs w:val="0"/>
                <w:color w:val="000000"/>
                <w:kern w:val="0"/>
                <w:sz w:val="22"/>
                <w:lang w:bidi="ar"/>
              </w:rPr>
              <w:t>类型</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b w:val="0"/>
                <w:bCs w:val="0"/>
                <w:color w:val="000000"/>
                <w:sz w:val="22"/>
              </w:rPr>
            </w:pPr>
            <w:r>
              <w:rPr>
                <w:rFonts w:hint="eastAsia" w:ascii="黑体" w:hAnsi="黑体" w:eastAsia="黑体" w:cs="黑体"/>
                <w:b w:val="0"/>
                <w:bCs w:val="0"/>
                <w:color w:val="000000"/>
                <w:kern w:val="0"/>
                <w:sz w:val="22"/>
                <w:lang w:bidi="ar"/>
              </w:rPr>
              <w:t>认定标准</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b w:val="0"/>
                <w:bCs w:val="0"/>
                <w:color w:val="000000"/>
                <w:sz w:val="22"/>
              </w:rPr>
            </w:pPr>
            <w:r>
              <w:rPr>
                <w:rFonts w:hint="eastAsia" w:ascii="黑体" w:hAnsi="黑体" w:eastAsia="黑体" w:cs="黑体"/>
                <w:b w:val="0"/>
                <w:bCs w:val="0"/>
                <w:color w:val="000000"/>
                <w:kern w:val="0"/>
                <w:sz w:val="22"/>
                <w:lang w:bidi="ar"/>
              </w:rPr>
              <w:t>记录分数</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b w:val="0"/>
                <w:bCs w:val="0"/>
                <w:color w:val="000000"/>
                <w:kern w:val="0"/>
                <w:sz w:val="22"/>
                <w:lang w:bidi="ar"/>
              </w:rPr>
            </w:pPr>
            <w:r>
              <w:rPr>
                <w:rFonts w:hint="eastAsia" w:ascii="黑体" w:hAnsi="黑体" w:eastAsia="黑体" w:cs="黑体"/>
                <w:b w:val="0"/>
                <w:bCs w:val="0"/>
                <w:color w:val="000000"/>
                <w:kern w:val="0"/>
                <w:sz w:val="22"/>
                <w:lang w:bidi="ar"/>
              </w:rPr>
              <w:t>记录对象</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b w:val="0"/>
                <w:bCs w:val="0"/>
                <w:color w:val="000000"/>
                <w:sz w:val="22"/>
              </w:rPr>
            </w:pPr>
            <w:r>
              <w:rPr>
                <w:rFonts w:hint="eastAsia" w:ascii="黑体" w:hAnsi="黑体" w:eastAsia="黑体" w:cs="黑体"/>
                <w:b w:val="0"/>
                <w:bCs w:val="0"/>
                <w:color w:val="000000"/>
                <w:kern w:val="0"/>
                <w:sz w:val="22"/>
                <w:lang w:bidi="ar"/>
              </w:rPr>
              <w:t>类型</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722"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 w:hAnsi="仿宋" w:eastAsia="仿宋" w:cs="仿宋"/>
                <w:b/>
                <w:bCs/>
                <w:color w:val="000000"/>
                <w:sz w:val="22"/>
              </w:rPr>
            </w:pPr>
            <w:r>
              <w:rPr>
                <w:rFonts w:hint="eastAsia" w:ascii="仿宋" w:hAnsi="仿宋" w:eastAsia="仿宋" w:cs="仿宋"/>
                <w:b/>
                <w:bCs/>
                <w:color w:val="000000"/>
                <w:sz w:val="22"/>
              </w:rPr>
              <w:t>干扰</w:t>
            </w:r>
            <w:r>
              <w:rPr>
                <w:rFonts w:ascii="仿宋" w:hAnsi="仿宋" w:eastAsia="仿宋" w:cs="仿宋"/>
                <w:b/>
                <w:bCs/>
                <w:color w:val="000000"/>
                <w:sz w:val="22"/>
              </w:rPr>
              <w:t>投标</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在投标有效期截止时间前，撤销投标文件的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FF0000"/>
                <w:sz w:val="22"/>
              </w:rPr>
            </w:pPr>
            <w:r>
              <w:rPr>
                <w:rFonts w:hint="eastAsia" w:ascii="仿宋" w:hAnsi="仿宋" w:eastAsia="仿宋" w:cs="仿宋"/>
                <w:kern w:val="0"/>
                <w:sz w:val="22"/>
                <w:lang w:bidi="ar"/>
              </w:rPr>
              <w:t>5分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1295"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kern w:val="0"/>
                <w:sz w:val="22"/>
                <w:lang w:bidi="ar"/>
              </w:rPr>
            </w:pPr>
            <w:r>
              <w:rPr>
                <w:rFonts w:hint="eastAsia" w:ascii="仿宋" w:hAnsi="仿宋" w:eastAsia="仿宋" w:cs="仿宋"/>
                <w:szCs w:val="21"/>
              </w:rPr>
              <w:t>资格预审合格后无正当理由不参与投标的，或者在邀请招标、竞争性谈判、竞争性磋商、单一来源、询价中，竞争主体接受邀请后无正当理由不参与投标的。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kern w:val="0"/>
                <w:sz w:val="22"/>
                <w:lang w:bidi="ar"/>
              </w:rPr>
            </w:pPr>
            <w:r>
              <w:rPr>
                <w:rFonts w:hint="eastAsia" w:ascii="仿宋" w:hAnsi="仿宋" w:eastAsia="仿宋" w:cs="仿宋"/>
                <w:kern w:val="0"/>
                <w:sz w:val="22"/>
                <w:lang w:bidi="ar"/>
              </w:rPr>
              <w:t>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kern w:val="0"/>
                <w:sz w:val="22"/>
                <w:lang w:bidi="ar"/>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114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竞争主体不服从现场工作人员管理，不遵守开标程序，扰乱开标会场秩序，干扰开标正常进行的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1285"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竞争主体为谋取中标，向项目单位、评标委员会成员及其他相关人员行贿或提供其他不正当利益的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12分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1085" w:hRule="atLeast"/>
        </w:trPr>
        <w:tc>
          <w:tcPr>
            <w:tcW w:w="123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 w:hAnsi="仿宋" w:eastAsia="仿宋" w:cs="仿宋"/>
                <w:b/>
                <w:color w:val="000000"/>
                <w:kern w:val="0"/>
                <w:sz w:val="22"/>
                <w:lang w:bidi="ar"/>
              </w:rPr>
            </w:pPr>
            <w:r>
              <w:rPr>
                <w:rFonts w:hint="eastAsia" w:ascii="仿宋" w:hAnsi="仿宋" w:eastAsia="仿宋" w:cs="仿宋"/>
                <w:b/>
                <w:color w:val="000000"/>
                <w:kern w:val="0"/>
                <w:sz w:val="22"/>
                <w:lang w:bidi="ar"/>
              </w:rPr>
              <w:t>串标或视为串标</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outlineLvl w:val="9"/>
              <w:rPr>
                <w:rFonts w:ascii="仿宋" w:hAnsi="仿宋" w:eastAsia="仿宋" w:cs="仿宋"/>
                <w:color w:val="000000"/>
                <w:kern w:val="0"/>
                <w:sz w:val="22"/>
                <w:lang w:bidi="ar"/>
              </w:rPr>
            </w:pPr>
            <w:r>
              <w:rPr>
                <w:rFonts w:hint="eastAsia" w:ascii="仿宋" w:hAnsi="仿宋" w:eastAsia="仿宋" w:cs="仿宋"/>
                <w:color w:val="000000"/>
                <w:kern w:val="0"/>
                <w:sz w:val="22"/>
                <w:lang w:bidi="ar"/>
              </w:rPr>
              <w:t>竞争主体相互串通投标或者与项目单位串通投标，或者存在视为串通投标情形的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850" w:hRule="atLeast"/>
        </w:trPr>
        <w:tc>
          <w:tcPr>
            <w:tcW w:w="123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 w:hAnsi="仿宋" w:eastAsia="仿宋" w:cs="仿宋"/>
                <w:color w:val="000000"/>
                <w:kern w:val="0"/>
                <w:sz w:val="22"/>
                <w:lang w:bidi="ar"/>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kern w:val="0"/>
                <w:sz w:val="22"/>
                <w:lang w:bidi="ar"/>
              </w:rPr>
            </w:pPr>
            <w:r>
              <w:rPr>
                <w:rFonts w:hint="eastAsia" w:ascii="仿宋" w:hAnsi="仿宋" w:eastAsia="仿宋" w:cs="仿宋"/>
                <w:color w:val="000000"/>
                <w:kern w:val="0"/>
                <w:sz w:val="22"/>
                <w:lang w:bidi="ar"/>
              </w:rPr>
              <w:t>3年内2次以上串通投标；</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12分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90" w:hRule="atLeast"/>
        </w:trPr>
        <w:tc>
          <w:tcPr>
            <w:tcW w:w="123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 w:hAnsi="仿宋" w:eastAsia="仿宋" w:cs="仿宋"/>
                <w:color w:val="000000"/>
                <w:kern w:val="0"/>
                <w:sz w:val="22"/>
                <w:lang w:bidi="ar"/>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kern w:val="0"/>
                <w:sz w:val="22"/>
                <w:lang w:bidi="ar"/>
              </w:rPr>
            </w:pPr>
            <w:r>
              <w:rPr>
                <w:rFonts w:hint="eastAsia" w:ascii="仿宋" w:hAnsi="仿宋" w:eastAsia="仿宋" w:cs="仿宋"/>
                <w:color w:val="000000"/>
                <w:kern w:val="0"/>
                <w:sz w:val="22"/>
                <w:lang w:bidi="ar"/>
              </w:rPr>
              <w:t>不同投标人电子投标文件制作机器码、文件创建标识码或造价软件加密锁号等任意一个一致的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5分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1120" w:hRule="atLeast"/>
        </w:trPr>
        <w:tc>
          <w:tcPr>
            <w:tcW w:w="123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仿宋" w:hAnsi="仿宋" w:eastAsia="仿宋" w:cs="仿宋"/>
                <w:color w:val="000000"/>
                <w:kern w:val="0"/>
                <w:sz w:val="22"/>
                <w:lang w:bidi="ar"/>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kern w:val="0"/>
                <w:sz w:val="22"/>
                <w:lang w:bidi="ar"/>
              </w:rPr>
            </w:pPr>
            <w:r>
              <w:rPr>
                <w:rFonts w:hint="eastAsia" w:ascii="仿宋" w:hAnsi="仿宋" w:eastAsia="仿宋" w:cs="仿宋"/>
                <w:color w:val="000000"/>
                <w:kern w:val="0"/>
                <w:sz w:val="22"/>
                <w:lang w:bidi="ar"/>
              </w:rPr>
              <w:t>不同竞争主体填写投标信息时</w:t>
            </w:r>
            <w:r>
              <w:rPr>
                <w:rFonts w:ascii="仿宋" w:hAnsi="仿宋" w:eastAsia="仿宋" w:cs="仿宋"/>
                <w:color w:val="000000"/>
                <w:kern w:val="0"/>
                <w:sz w:val="22"/>
                <w:lang w:bidi="ar"/>
              </w:rPr>
              <w:t>，</w:t>
            </w:r>
            <w:r>
              <w:rPr>
                <w:rFonts w:hint="eastAsia" w:ascii="仿宋" w:hAnsi="仿宋" w:eastAsia="仿宋" w:cs="仿宋"/>
                <w:color w:val="000000"/>
                <w:kern w:val="0"/>
                <w:sz w:val="22"/>
                <w:lang w:bidi="ar"/>
              </w:rPr>
              <w:t>MAC地址一致的或联系人电话信息一致的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980" w:hRule="atLeast"/>
        </w:trPr>
        <w:tc>
          <w:tcPr>
            <w:tcW w:w="123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投标文件中单方面出现其他竞争主体文件资料或企业名称或公章等信息，未被认定为串通投标的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1112"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b/>
                <w:bCs/>
                <w:color w:val="000000"/>
                <w:sz w:val="22"/>
              </w:rPr>
            </w:pPr>
            <w:r>
              <w:rPr>
                <w:rFonts w:hint="eastAsia" w:ascii="仿宋" w:hAnsi="仿宋" w:eastAsia="仿宋" w:cs="仿宋"/>
                <w:b/>
                <w:bCs/>
                <w:color w:val="000000"/>
                <w:kern w:val="0"/>
                <w:sz w:val="22"/>
                <w:lang w:bidi="ar"/>
              </w:rPr>
              <w:t>弄虚作假</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ascii="仿宋" w:hAnsi="仿宋" w:eastAsia="仿宋" w:cs="仿宋"/>
                <w:color w:val="000000"/>
                <w:sz w:val="22"/>
              </w:rPr>
            </w:pPr>
            <w:r>
              <w:rPr>
                <w:rFonts w:hint="eastAsia" w:ascii="仿宋" w:hAnsi="仿宋" w:eastAsia="仿宋" w:cs="仿宋"/>
                <w:color w:val="000000"/>
                <w:kern w:val="0"/>
                <w:sz w:val="22"/>
                <w:lang w:bidi="ar"/>
              </w:rPr>
              <w:t>投标人以他人名义投标或者以其他方式弄虚作假骗取中标的，或者在监管部门调查过程中提供虚假材料的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888"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ascii="仿宋" w:hAnsi="仿宋" w:eastAsia="仿宋" w:cs="仿宋"/>
                <w:sz w:val="22"/>
              </w:rPr>
            </w:pPr>
            <w:r>
              <w:rPr>
                <w:rFonts w:hint="eastAsia" w:ascii="仿宋" w:hAnsi="仿宋" w:eastAsia="仿宋" w:cs="仿宋"/>
                <w:kern w:val="0"/>
                <w:sz w:val="22"/>
                <w:lang w:bidi="ar"/>
              </w:rPr>
              <w:t>三年内二次以上弄虚作假骗取中标的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sz w:val="22"/>
              </w:rPr>
            </w:pPr>
            <w:r>
              <w:rPr>
                <w:rFonts w:hint="eastAsia" w:ascii="仿宋" w:hAnsi="仿宋" w:eastAsia="仿宋" w:cs="仿宋"/>
                <w:kern w:val="0"/>
                <w:sz w:val="22"/>
                <w:lang w:bidi="ar"/>
              </w:rPr>
              <w:t>12分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sz w:val="22"/>
              </w:rPr>
            </w:pPr>
            <w:r>
              <w:rPr>
                <w:rFonts w:hint="eastAsia" w:ascii="仿宋" w:hAnsi="仿宋" w:eastAsia="仿宋" w:cs="仿宋"/>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962"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伪造、变造资格、资质证书或者其他许可证件骗取中标；</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12分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192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b/>
                <w:bCs/>
                <w:color w:val="000000"/>
                <w:sz w:val="22"/>
              </w:rPr>
            </w:pPr>
            <w:r>
              <w:rPr>
                <w:rFonts w:hint="eastAsia" w:ascii="仿宋" w:hAnsi="仿宋" w:eastAsia="仿宋" w:cs="仿宋"/>
                <w:b/>
                <w:bCs/>
                <w:color w:val="000000"/>
                <w:kern w:val="0"/>
                <w:sz w:val="22"/>
                <w:lang w:bidi="ar"/>
              </w:rPr>
              <w:t>不签合同</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中标（成交）后无正当理由不与项目单位订立合同，在签订合同时向项目单位提出附加条件，合同的主要条款与交易文件、中标人的投标文件的内容不一致，或者招标人、中标人订立背离合同实质性内容的协议的或者不按照交易文件要求提交履约保证金的且未按规定整改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1275"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中标（成交）后无正当理由未在规定时间内与项目单位签订合同的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1275"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b/>
                <w:bCs/>
                <w:color w:val="000000"/>
                <w:sz w:val="22"/>
              </w:rPr>
            </w:pPr>
            <w:r>
              <w:rPr>
                <w:rFonts w:hint="eastAsia" w:ascii="仿宋" w:hAnsi="仿宋" w:eastAsia="仿宋" w:cs="仿宋"/>
                <w:b/>
                <w:bCs/>
                <w:color w:val="000000"/>
                <w:kern w:val="0"/>
                <w:sz w:val="22"/>
                <w:lang w:bidi="ar"/>
              </w:rPr>
              <w:t>不履约</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left"/>
              <w:outlineLvl w:val="9"/>
              <w:rPr>
                <w:rFonts w:ascii="仿宋" w:hAnsi="仿宋" w:eastAsia="仿宋" w:cs="Times New Roman"/>
                <w:color w:val="000000"/>
                <w:kern w:val="0"/>
                <w:szCs w:val="21"/>
              </w:rPr>
            </w:pPr>
            <w:r>
              <w:rPr>
                <w:rFonts w:hint="eastAsia" w:ascii="仿宋" w:hAnsi="仿宋" w:eastAsia="仿宋"/>
                <w:color w:val="000000"/>
                <w:kern w:val="0"/>
              </w:rPr>
              <w:t>不按交易文件、投标文件以及签订的合同或协议履约，或在项目实施中降低技术、服务标准的,情节一般/严重的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sz w:val="22"/>
              </w:rPr>
            </w:pPr>
            <w:r>
              <w:rPr>
                <w:rFonts w:ascii="仿宋" w:hAnsi="仿宋" w:eastAsia="仿宋" w:cs="仿宋"/>
                <w:kern w:val="0"/>
                <w:sz w:val="22"/>
                <w:lang w:bidi="ar"/>
              </w:rPr>
              <w:t>2</w:t>
            </w:r>
            <w:r>
              <w:rPr>
                <w:rFonts w:hint="eastAsia" w:ascii="仿宋" w:hAnsi="仿宋" w:eastAsia="仿宋" w:cs="仿宋"/>
                <w:kern w:val="0"/>
                <w:sz w:val="22"/>
                <w:lang w:bidi="ar"/>
              </w:rPr>
              <w:t>分/</w:t>
            </w:r>
            <w:r>
              <w:rPr>
                <w:rFonts w:ascii="仿宋" w:hAnsi="仿宋" w:eastAsia="仿宋" w:cs="仿宋"/>
                <w:kern w:val="0"/>
                <w:sz w:val="22"/>
                <w:lang w:bidi="ar"/>
              </w:rPr>
              <w:t>5</w:t>
            </w:r>
            <w:r>
              <w:rPr>
                <w:rFonts w:hint="eastAsia" w:ascii="仿宋" w:hAnsi="仿宋" w:eastAsia="仿宋" w:cs="仿宋"/>
                <w:kern w:val="0"/>
                <w:sz w:val="22"/>
                <w:lang w:bidi="ar"/>
              </w:rPr>
              <w:t>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sz w:val="22"/>
              </w:rPr>
            </w:pPr>
            <w:r>
              <w:rPr>
                <w:rFonts w:hint="eastAsia" w:ascii="仿宋" w:hAnsi="仿宋" w:eastAsia="仿宋" w:cs="仿宋"/>
                <w:kern w:val="0"/>
                <w:sz w:val="22"/>
                <w:lang w:bidi="ar"/>
              </w:rPr>
              <w:t>单位</w:t>
            </w:r>
            <w:r>
              <w:rPr>
                <w:rFonts w:ascii="仿宋" w:hAnsi="仿宋" w:eastAsia="仿宋" w:cs="仿宋"/>
                <w:sz w:val="22"/>
              </w:rPr>
              <w:t xml:space="preserve"> </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1005"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left"/>
              <w:outlineLvl w:val="9"/>
              <w:rPr>
                <w:rFonts w:ascii="仿宋" w:hAnsi="仿宋" w:eastAsia="仿宋"/>
                <w:color w:val="000000"/>
                <w:kern w:val="0"/>
              </w:rPr>
            </w:pPr>
            <w:r>
              <w:rPr>
                <w:rFonts w:hint="eastAsia" w:ascii="仿宋" w:hAnsi="仿宋" w:eastAsia="仿宋"/>
                <w:color w:val="000000"/>
                <w:kern w:val="0"/>
              </w:rPr>
              <w:t>在标后履约检查中，项目经理、技术负责人、项目总监不在岗履职且未履行请假手续的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ascii="仿宋" w:hAnsi="仿宋" w:eastAsia="仿宋" w:cs="仿宋"/>
                <w:color w:val="000000"/>
                <w:kern w:val="0"/>
                <w:sz w:val="22"/>
                <w:lang w:bidi="ar"/>
              </w:rPr>
              <w:t>1</w:t>
            </w:r>
            <w:r>
              <w:rPr>
                <w:rFonts w:hint="eastAsia" w:ascii="仿宋" w:hAnsi="仿宋" w:eastAsia="仿宋" w:cs="仿宋"/>
                <w:color w:val="000000"/>
                <w:kern w:val="0"/>
                <w:sz w:val="22"/>
                <w:lang w:bidi="ar"/>
              </w:rPr>
              <w:t>分/次</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642"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left"/>
              <w:outlineLvl w:val="9"/>
              <w:rPr>
                <w:rFonts w:ascii="仿宋" w:hAnsi="仿宋" w:eastAsia="仿宋"/>
                <w:color w:val="000000"/>
                <w:kern w:val="0"/>
              </w:rPr>
            </w:pPr>
            <w:r>
              <w:rPr>
                <w:rFonts w:hint="eastAsia" w:ascii="仿宋" w:hAnsi="仿宋" w:eastAsia="仿宋"/>
                <w:color w:val="000000"/>
                <w:kern w:val="0"/>
              </w:rPr>
              <w:t>对标后履约检查发现问题，经督促整改未按期整改的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ascii="仿宋" w:hAnsi="仿宋" w:eastAsia="仿宋" w:cs="仿宋"/>
                <w:color w:val="000000"/>
                <w:kern w:val="0"/>
                <w:sz w:val="22"/>
                <w:lang w:bidi="ar"/>
              </w:rPr>
              <w:t>2</w:t>
            </w:r>
            <w:r>
              <w:rPr>
                <w:rFonts w:hint="eastAsia" w:ascii="仿宋" w:hAnsi="仿宋" w:eastAsia="仿宋" w:cs="仿宋"/>
                <w:color w:val="000000"/>
                <w:kern w:val="0"/>
                <w:sz w:val="22"/>
                <w:lang w:bidi="ar"/>
              </w:rPr>
              <w:t>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102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b/>
                <w:color w:val="000000"/>
                <w:kern w:val="0"/>
              </w:rPr>
            </w:pPr>
            <w:r>
              <w:rPr>
                <w:rFonts w:hint="eastAsia" w:ascii="仿宋" w:hAnsi="仿宋" w:eastAsia="仿宋"/>
                <w:b/>
                <w:color w:val="000000"/>
                <w:kern w:val="0"/>
              </w:rPr>
              <w:t>不接受</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olor w:val="000000"/>
                <w:kern w:val="0"/>
              </w:rPr>
            </w:pPr>
            <w:r>
              <w:rPr>
                <w:rFonts w:hint="eastAsia" w:ascii="仿宋" w:hAnsi="仿宋" w:eastAsia="仿宋"/>
                <w:b/>
                <w:color w:val="000000"/>
                <w:kern w:val="0"/>
              </w:rPr>
              <w:t>监管</w:t>
            </w:r>
          </w:p>
        </w:tc>
        <w:tc>
          <w:tcPr>
            <w:tcW w:w="5305"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left"/>
              <w:outlineLvl w:val="9"/>
              <w:rPr>
                <w:rFonts w:ascii="仿宋" w:hAnsi="仿宋" w:eastAsia="仿宋"/>
                <w:color w:val="000000"/>
                <w:kern w:val="0"/>
              </w:rPr>
            </w:pPr>
            <w:r>
              <w:rPr>
                <w:rFonts w:hint="eastAsia" w:ascii="仿宋" w:hAnsi="仿宋" w:eastAsia="仿宋"/>
                <w:color w:val="000000"/>
                <w:kern w:val="0"/>
              </w:rPr>
              <w:t>在监管</w:t>
            </w:r>
            <w:r>
              <w:rPr>
                <w:rFonts w:ascii="仿宋" w:hAnsi="仿宋" w:eastAsia="仿宋"/>
                <w:color w:val="000000"/>
                <w:kern w:val="0"/>
              </w:rPr>
              <w:t>部门调查过程中，</w:t>
            </w:r>
            <w:r>
              <w:rPr>
                <w:rFonts w:hint="eastAsia" w:ascii="仿宋" w:hAnsi="仿宋" w:eastAsia="仿宋"/>
                <w:color w:val="000000"/>
                <w:kern w:val="0"/>
              </w:rPr>
              <w:t>提供</w:t>
            </w:r>
            <w:r>
              <w:rPr>
                <w:rFonts w:ascii="仿宋" w:hAnsi="仿宋" w:eastAsia="仿宋"/>
                <w:color w:val="000000"/>
                <w:kern w:val="0"/>
              </w:rPr>
              <w:t>虚假陈述或不配合调查、约谈的</w:t>
            </w:r>
          </w:p>
        </w:tc>
        <w:tc>
          <w:tcPr>
            <w:tcW w:w="134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sz w:val="22"/>
              </w:rPr>
            </w:pPr>
            <w:r>
              <w:rPr>
                <w:rFonts w:hint="eastAsia" w:ascii="仿宋" w:hAnsi="仿宋" w:eastAsia="仿宋" w:cs="仿宋"/>
                <w:kern w:val="0"/>
                <w:sz w:val="22"/>
                <w:lang w:bidi="ar"/>
              </w:rPr>
              <w:t>2分</w:t>
            </w:r>
          </w:p>
        </w:tc>
        <w:tc>
          <w:tcPr>
            <w:tcW w:w="148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sz w:val="22"/>
              </w:rPr>
            </w:pPr>
            <w:r>
              <w:rPr>
                <w:rFonts w:hint="eastAsia" w:ascii="仿宋" w:hAnsi="仿宋" w:eastAsia="仿宋" w:cs="仿宋"/>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olor w:val="000000"/>
                <w:kern w:val="0"/>
              </w:rPr>
            </w:pPr>
          </w:p>
        </w:tc>
        <w:tc>
          <w:tcPr>
            <w:tcW w:w="530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ascii="仿宋" w:hAnsi="仿宋" w:eastAsia="仿宋"/>
                <w:color w:val="000000"/>
                <w:kern w:val="0"/>
              </w:rPr>
            </w:pPr>
          </w:p>
        </w:tc>
        <w:tc>
          <w:tcPr>
            <w:tcW w:w="134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p>
        </w:tc>
        <w:tc>
          <w:tcPr>
            <w:tcW w:w="148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945"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olor w:val="000000"/>
                <w:kern w:val="0"/>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ascii="仿宋" w:hAnsi="仿宋" w:eastAsia="仿宋"/>
                <w:color w:val="000000"/>
                <w:kern w:val="0"/>
              </w:rPr>
            </w:pPr>
            <w:r>
              <w:rPr>
                <w:rFonts w:hint="eastAsia" w:ascii="仿宋" w:hAnsi="仿宋" w:eastAsia="仿宋"/>
                <w:color w:val="000000"/>
                <w:kern w:val="0"/>
              </w:rPr>
              <w:t>不按监管部门要求整改、不在法定期限内缴纳罚款，拒绝接受监管部门或项目单位追缴已退回的投标保证金的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5分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91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在监管部门依法监督检查过程中提供虚假材料、多次询问前后表述不一致等</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72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b/>
                <w:bCs/>
                <w:sz w:val="22"/>
              </w:rPr>
            </w:pPr>
            <w:r>
              <w:rPr>
                <w:rFonts w:hint="eastAsia" w:ascii="仿宋" w:hAnsi="仿宋" w:eastAsia="仿宋" w:cs="仿宋"/>
                <w:b/>
                <w:bCs/>
                <w:kern w:val="0"/>
                <w:sz w:val="22"/>
                <w:lang w:bidi="ar"/>
              </w:rPr>
              <w:t>恶意投诉、</w:t>
            </w:r>
            <w:r>
              <w:rPr>
                <w:rStyle w:val="16"/>
                <w:rFonts w:hint="default" w:ascii="仿宋" w:hAnsi="仿宋" w:eastAsia="仿宋" w:cs="仿宋"/>
                <w:color w:val="auto"/>
                <w:lang w:bidi="ar"/>
              </w:rPr>
              <w:t>举报</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sz w:val="22"/>
              </w:rPr>
            </w:pPr>
            <w:r>
              <w:rPr>
                <w:rFonts w:hint="eastAsia" w:ascii="仿宋" w:hAnsi="仿宋" w:eastAsia="仿宋" w:cs="仿宋"/>
                <w:kern w:val="0"/>
                <w:sz w:val="22"/>
                <w:lang w:bidi="ar"/>
              </w:rPr>
              <w:t>竞争主体或者其他利害关系人捏造事实、伪造材料或者以非法手段取得证明材料进行投诉、</w:t>
            </w:r>
            <w:r>
              <w:rPr>
                <w:rStyle w:val="17"/>
                <w:rFonts w:hint="default" w:ascii="仿宋" w:hAnsi="仿宋" w:eastAsia="仿宋" w:cs="仿宋"/>
                <w:color w:val="auto"/>
                <w:lang w:bidi="ar"/>
              </w:rPr>
              <w:t>举报</w:t>
            </w:r>
            <w:r>
              <w:rPr>
                <w:rStyle w:val="18"/>
                <w:rFonts w:hint="default" w:ascii="仿宋" w:hAnsi="仿宋" w:eastAsia="仿宋" w:cs="仿宋"/>
                <w:color w:val="auto"/>
                <w:lang w:bidi="ar"/>
              </w:rPr>
              <w:t>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5分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642"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通过舆论媒体捏造事实，恶意抹黑他人的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70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b/>
                <w:bCs/>
                <w:color w:val="000000"/>
                <w:sz w:val="22"/>
              </w:rPr>
            </w:pPr>
            <w:r>
              <w:rPr>
                <w:rFonts w:hint="eastAsia" w:ascii="仿宋" w:hAnsi="仿宋" w:eastAsia="仿宋" w:cs="仿宋"/>
                <w:b/>
                <w:bCs/>
                <w:color w:val="000000"/>
                <w:kern w:val="0"/>
                <w:sz w:val="22"/>
                <w:lang w:bidi="ar"/>
              </w:rPr>
              <w:t>其他违法违规情形</w:t>
            </w: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在滁州市范围内，一年内三次以上提出投诉均查无实据的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60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在案件调查过程中，存在威胁办案人员等行为的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7分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62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为同一项目不同投标人制作投标文件的</w:t>
            </w:r>
          </w:p>
        </w:tc>
        <w:tc>
          <w:tcPr>
            <w:tcW w:w="1348"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5分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单位/个人</w:t>
            </w:r>
          </w:p>
        </w:tc>
        <w:tc>
          <w:tcPr>
            <w:tcW w:w="949" w:type="dxa"/>
            <w:tcBorders>
              <w:top w:val="nil"/>
              <w:left w:val="nil"/>
              <w:bottom w:val="nil"/>
              <w:right w:val="nil"/>
            </w:tcBorders>
            <w:vAlign w:val="center"/>
          </w:tcPr>
          <w:p>
            <w:pPr>
              <w:jc w:val="center"/>
              <w:rPr>
                <w:rFonts w:ascii="仿宋" w:hAnsi="仿宋" w:eastAsia="仿宋" w:cs="仿宋"/>
                <w:color w:val="000000"/>
                <w:sz w:val="22"/>
              </w:rPr>
            </w:pPr>
          </w:p>
        </w:tc>
      </w:tr>
      <w:tr>
        <w:tblPrEx>
          <w:tblLayout w:type="fixed"/>
          <w:tblCellMar>
            <w:top w:w="0" w:type="dxa"/>
            <w:left w:w="108" w:type="dxa"/>
            <w:bottom w:w="0" w:type="dxa"/>
            <w:right w:w="108" w:type="dxa"/>
          </w:tblCellMar>
        </w:tblPrEx>
        <w:trPr>
          <w:trHeight w:val="567"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ascii="仿宋" w:hAnsi="仿宋" w:eastAsia="仿宋" w:cs="仿宋"/>
                <w:b/>
                <w:bCs/>
                <w:color w:val="000000"/>
                <w:sz w:val="22"/>
              </w:rPr>
            </w:pPr>
          </w:p>
        </w:tc>
        <w:tc>
          <w:tcPr>
            <w:tcW w:w="53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投标时承诺不实的，</w:t>
            </w:r>
            <w:r>
              <w:rPr>
                <w:rStyle w:val="18"/>
                <w:rFonts w:hint="default" w:ascii="仿宋" w:hAnsi="仿宋" w:eastAsia="仿宋" w:cs="仿宋"/>
                <w:lang w:bidi="ar"/>
              </w:rPr>
              <w:t>未构成行政处罚的</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2分</w:t>
            </w:r>
          </w:p>
        </w:tc>
        <w:tc>
          <w:tcPr>
            <w:tcW w:w="14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仿宋" w:hAnsi="仿宋" w:eastAsia="仿宋" w:cs="仿宋"/>
                <w:color w:val="000000"/>
                <w:sz w:val="22"/>
              </w:rPr>
            </w:pPr>
            <w:r>
              <w:rPr>
                <w:rFonts w:hint="eastAsia" w:ascii="仿宋" w:hAnsi="仿宋" w:eastAsia="仿宋" w:cs="仿宋"/>
                <w:color w:val="000000"/>
                <w:kern w:val="0"/>
                <w:sz w:val="22"/>
                <w:lang w:bidi="ar"/>
              </w:rPr>
              <w:t>单位</w:t>
            </w:r>
          </w:p>
        </w:tc>
        <w:tc>
          <w:tcPr>
            <w:tcW w:w="949" w:type="dxa"/>
            <w:tcBorders>
              <w:top w:val="nil"/>
              <w:left w:val="nil"/>
              <w:bottom w:val="nil"/>
              <w:right w:val="nil"/>
            </w:tcBorders>
            <w:vAlign w:val="center"/>
          </w:tcPr>
          <w:p>
            <w:pPr>
              <w:jc w:val="center"/>
              <w:rPr>
                <w:rFonts w:ascii="仿宋" w:hAnsi="仿宋" w:eastAsia="仿宋" w:cs="仿宋"/>
                <w:color w:val="00B050"/>
                <w:sz w:val="22"/>
              </w:rPr>
            </w:pPr>
          </w:p>
        </w:tc>
      </w:tr>
    </w:tbl>
    <w:p/>
    <w:p>
      <w:pPr>
        <w:jc w:val="left"/>
        <w:rPr>
          <w:rFonts w:ascii="仿宋_GB2312" w:eastAsia="仿宋_GB2312"/>
          <w:sz w:val="32"/>
          <w:szCs w:val="32"/>
        </w:rPr>
      </w:pPr>
    </w:p>
    <w:sectPr>
      <w:footerReference r:id="rId3" w:type="default"/>
      <w:pgSz w:w="11906" w:h="16838"/>
      <w:pgMar w:top="2211" w:right="1531" w:bottom="1757" w:left="1531"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073" o:spid="_x0000_s3073"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sdt>
      <w:sdtPr>
        <w:id w:val="13157328"/>
        <w:docPartObj>
          <w:docPartGallery w:val="autotext"/>
        </w:docPartObj>
      </w:sdtPr>
      <w:sdtContent>
        <w:sdt>
          <w:sdtPr>
            <w:id w:val="171357217"/>
            <w:docPartObj>
              <w:docPartGallery w:val="autotext"/>
            </w:docPartObj>
          </w:sdtPr>
          <w:sdtContent/>
        </w:sdt>
      </w:sdtContent>
    </w:sdt>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84F04"/>
    <w:rsid w:val="000955E4"/>
    <w:rsid w:val="000A5AEC"/>
    <w:rsid w:val="00143BFD"/>
    <w:rsid w:val="00151B7C"/>
    <w:rsid w:val="006642AE"/>
    <w:rsid w:val="007926B7"/>
    <w:rsid w:val="007C70B9"/>
    <w:rsid w:val="007D45D6"/>
    <w:rsid w:val="008628C4"/>
    <w:rsid w:val="00984F04"/>
    <w:rsid w:val="00AC20FF"/>
    <w:rsid w:val="00D049CE"/>
    <w:rsid w:val="00D44438"/>
    <w:rsid w:val="03AF315A"/>
    <w:rsid w:val="05033152"/>
    <w:rsid w:val="1581318B"/>
    <w:rsid w:val="1FF609B3"/>
    <w:rsid w:val="2621558A"/>
    <w:rsid w:val="3A7E348D"/>
    <w:rsid w:val="41496C4A"/>
    <w:rsid w:val="47F1516F"/>
    <w:rsid w:val="49346374"/>
    <w:rsid w:val="49E93256"/>
    <w:rsid w:val="574A1AC4"/>
    <w:rsid w:val="5C6D6B3B"/>
    <w:rsid w:val="6DE948FA"/>
    <w:rsid w:val="77D14644"/>
    <w:rsid w:val="7A4F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qFormat/>
    <w:uiPriority w:val="99"/>
    <w:pPr>
      <w:ind w:left="420" w:firstLine="420" w:firstLineChars="200"/>
    </w:pPr>
  </w:style>
  <w:style w:type="paragraph" w:styleId="3">
    <w:name w:val="Body Text Indent"/>
    <w:basedOn w:val="1"/>
    <w:next w:val="4"/>
    <w:semiHidden/>
    <w:unhideWhenUsed/>
    <w:uiPriority w:val="99"/>
    <w:pPr>
      <w:spacing w:after="120"/>
      <w:ind w:left="200" w:leftChars="200"/>
    </w:pPr>
  </w:style>
  <w:style w:type="paragraph" w:styleId="4">
    <w:name w:val="envelope return"/>
    <w:basedOn w:val="1"/>
    <w:semiHidden/>
    <w:unhideWhenUsed/>
    <w:qFormat/>
    <w:uiPriority w:val="99"/>
    <w:pPr>
      <w:snapToGrid w:val="0"/>
    </w:pPr>
    <w:rPr>
      <w:rFonts w:ascii="Arial" w:hAnsi="Arial"/>
    </w:rPr>
  </w:style>
  <w:style w:type="paragraph" w:styleId="5">
    <w:name w:val="Date"/>
    <w:basedOn w:val="1"/>
    <w:next w:val="1"/>
    <w:link w:val="14"/>
    <w:semiHidden/>
    <w:unhideWhenUsed/>
    <w:qFormat/>
    <w:uiPriority w:val="99"/>
    <w:pPr>
      <w:ind w:left="100" w:leftChars="2500"/>
    </w:pPr>
  </w:style>
  <w:style w:type="paragraph" w:styleId="6">
    <w:name w:val="Balloon Text"/>
    <w:basedOn w:val="1"/>
    <w:link w:val="15"/>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spacing w:before="100" w:beforeAutospacing="1" w:after="100" w:afterAutospacing="1"/>
      <w:ind w:left="0" w:right="0"/>
      <w:jc w:val="left"/>
    </w:pPr>
    <w:rPr>
      <w:kern w:val="0"/>
      <w:sz w:val="24"/>
      <w:lang w:val="en-US" w:eastAsia="zh-CN" w:bidi="ar"/>
    </w:rPr>
  </w:style>
  <w:style w:type="character" w:customStyle="1" w:styleId="12">
    <w:name w:val="页眉 Char"/>
    <w:basedOn w:val="10"/>
    <w:link w:val="8"/>
    <w:semiHidden/>
    <w:qFormat/>
    <w:uiPriority w:val="99"/>
    <w:rPr>
      <w:sz w:val="18"/>
      <w:szCs w:val="18"/>
    </w:rPr>
  </w:style>
  <w:style w:type="character" w:customStyle="1" w:styleId="13">
    <w:name w:val="页脚 Char"/>
    <w:basedOn w:val="10"/>
    <w:link w:val="7"/>
    <w:qFormat/>
    <w:uiPriority w:val="99"/>
    <w:rPr>
      <w:sz w:val="18"/>
      <w:szCs w:val="18"/>
    </w:rPr>
  </w:style>
  <w:style w:type="character" w:customStyle="1" w:styleId="14">
    <w:name w:val="日期 Char"/>
    <w:basedOn w:val="10"/>
    <w:link w:val="5"/>
    <w:semiHidden/>
    <w:qFormat/>
    <w:uiPriority w:val="99"/>
  </w:style>
  <w:style w:type="character" w:customStyle="1" w:styleId="15">
    <w:name w:val="批注框文本 Char"/>
    <w:basedOn w:val="10"/>
    <w:link w:val="6"/>
    <w:semiHidden/>
    <w:qFormat/>
    <w:uiPriority w:val="99"/>
    <w:rPr>
      <w:sz w:val="18"/>
      <w:szCs w:val="18"/>
    </w:rPr>
  </w:style>
  <w:style w:type="character" w:customStyle="1" w:styleId="16">
    <w:name w:val="font101"/>
    <w:basedOn w:val="10"/>
    <w:qFormat/>
    <w:uiPriority w:val="0"/>
    <w:rPr>
      <w:rFonts w:hint="eastAsia" w:ascii="宋体" w:hAnsi="宋体" w:eastAsia="宋体" w:cs="宋体"/>
      <w:b/>
      <w:bCs/>
      <w:color w:val="FF0000"/>
      <w:sz w:val="22"/>
      <w:szCs w:val="22"/>
      <w:u w:val="none"/>
    </w:rPr>
  </w:style>
  <w:style w:type="character" w:customStyle="1" w:styleId="17">
    <w:name w:val="font71"/>
    <w:basedOn w:val="10"/>
    <w:qFormat/>
    <w:uiPriority w:val="0"/>
    <w:rPr>
      <w:rFonts w:hint="eastAsia" w:ascii="宋体" w:hAnsi="宋体" w:eastAsia="宋体" w:cs="宋体"/>
      <w:color w:val="FF0000"/>
      <w:sz w:val="22"/>
      <w:szCs w:val="22"/>
      <w:u w:val="none"/>
    </w:rPr>
  </w:style>
  <w:style w:type="character" w:customStyle="1" w:styleId="18">
    <w:name w:val="font4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685</Words>
  <Characters>3908</Characters>
  <Lines>32</Lines>
  <Paragraphs>9</Paragraphs>
  <ScaleCrop>false</ScaleCrop>
  <LinksUpToDate>false</LinksUpToDate>
  <CharactersWithSpaces>4584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2021-07-05T03:26:00Z</dcterms:created>
  <dc:creator>罗雪莉</dc:creator>
  <cp:lastModifiedBy>张丽丽</cp:lastModifiedBy>
  <cp:lastPrinted>2021-07-06T00:25:00Z</cp:lastPrinted>
  <dcterms:modified xsi:type="dcterms:W3CDTF">2022-10-31T00:52:29Z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