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ascii="Calibri" w:hAnsi="Calibri" w:eastAsia="宋体" w:cs="Times New Roman"/>
          <w:kern w:val="2"/>
          <w:sz w:val="20"/>
          <w:szCs w:val="21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-17780</wp:posOffset>
                </wp:positionV>
                <wp:extent cx="5848350" cy="2228215"/>
                <wp:effectExtent l="0" t="0" r="0" b="19050"/>
                <wp:wrapNone/>
                <wp:docPr id="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2228215"/>
                          <a:chOff x="1612" y="1786"/>
                          <a:chExt cx="9000" cy="3449"/>
                        </a:xfrm>
                      </wpg:grpSpPr>
                      <wps:wsp>
                        <wps:cNvPr id="1" name="Rectangle 6"/>
                        <wps:cNvSpPr/>
                        <wps:spPr>
                          <a:xfrm>
                            <a:off x="1612" y="1786"/>
                            <a:ext cx="9000" cy="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color w:val="FF0000"/>
                                  <w:spacing w:val="-2"/>
                                  <w:w w:val="50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hint="eastAsia" w:ascii="方正小标宋简体" w:eastAsia="方正小标宋简体"/>
                                  <w:color w:val="FF0000"/>
                                  <w:spacing w:val="-2"/>
                                  <w:w w:val="50"/>
                                  <w:sz w:val="112"/>
                                  <w:szCs w:val="112"/>
                                </w:rPr>
                                <w:t>滁州市公共资源交易监督管理局文件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Line 7"/>
                        <wps:cNvSpPr/>
                        <wps:spPr>
                          <a:xfrm>
                            <a:off x="1770" y="5235"/>
                            <a:ext cx="8842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11.4pt;margin-top:-1.4pt;height:175.45pt;width:460.5pt;z-index:251659264;mso-width-relative:page;mso-height-relative:page;" coordorigin="1612,1786" coordsize="9000,3449" o:gfxdata="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YWPRqdoAAAAKAQAADwAAAAAAAAABACAAAAAiAAAAZHJzL2Rvd25yZXYueG1sUEsB&#10;AhQAFAAAAAgAh07iQEkBSpaeAgAAdQYAAA4AAAAAAAAAAQAgAAAAKQEAAGRycy9lMm9Eb2MueG1s&#10;UEsFBgAAAAAGAAYAWQEAADkGAAAAAA==&#10;">
                <o:lock v:ext="edit" position="f" selection="f" grouping="f" rotation="f" cropping="f" text="f" aspectratio="f"/>
                <v:rect id="Rectangle 6" o:spid="_x0000_s1026" o:spt="1" style="position:absolute;left:1612;top:1786;height:2097;width:900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小标宋简体" w:eastAsia="方正小标宋简体"/>
                            <w:color w:val="FF0000"/>
                            <w:spacing w:val="-2"/>
                            <w:w w:val="50"/>
                            <w:sz w:val="112"/>
                            <w:szCs w:val="112"/>
                          </w:rPr>
                        </w:pPr>
                        <w:r>
                          <w:rPr>
                            <w:rFonts w:hint="eastAsia" w:ascii="方正小标宋简体" w:eastAsia="方正小标宋简体"/>
                            <w:color w:val="FF0000"/>
                            <w:spacing w:val="-2"/>
                            <w:w w:val="50"/>
                            <w:sz w:val="112"/>
                            <w:szCs w:val="112"/>
                          </w:rPr>
                          <w:t>滁州市公共资源交易监督管理局文件</w:t>
                        </w:r>
                      </w:p>
                    </w:txbxContent>
                  </v:textbox>
                </v:rect>
                <v:line id="Line 7" o:spid="_x0000_s1026" o:spt="20" style="position:absolute;left:1770;top:5235;height:0;width:8842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滁公管综〔20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rPr>
          <w:szCs w:val="21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关于印发《2021年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滁州市本级建设工程标后</w:t>
      </w:r>
    </w:p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履约检查实施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方案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》的通知</w:t>
      </w:r>
    </w:p>
    <w:p>
      <w:pPr>
        <w:wordWrap/>
        <w:spacing w:line="560" w:lineRule="exact"/>
        <w:ind w:left="0" w:leftChars="0" w:right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wordWrap/>
        <w:spacing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市直有关单位：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现将《2021年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滁州市本级建设工程标后履约检查实施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》印发给你们，请结合工作实际，认真贯彻执行。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联系电话：0550-3801689   电子邮箱：czsggjbhb@163.com </w:t>
      </w:r>
    </w:p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left="0" w:leftChars="0" w:right="388" w:rightChars="20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Calibri" w:hAnsi="Calibri" w:eastAsia="宋体" w:cs="Times New Roman"/>
          <w:kern w:val="2"/>
          <w:sz w:val="32"/>
          <w:szCs w:val="22"/>
          <w:lang w:val="en-US" w:eastAsia="zh-CN" w:bidi="ar-SA"/>
        </w:rPr>
        <w:pict>
          <v:shape id="Host Control 6" o:spid="_x0000_s2053" o:spt="201" type="#_x0000_t201" style="position:absolute;left:0pt;margin-left:373.65pt;margin-top:552.05pt;height:113.25pt;width:113.25pt;mso-position-horizontal-relative:page;mso-position-vertical-relative:page;z-index:251662336;mso-width-relative:page;mso-height-relative:page;" o:ole="t" fillcolor="#9CBEE0" filled="f" o:preferrelative="t" stroked="f" coordsize="21600,21600">
            <v:path/>
            <v:fill type="gradient" on="f" color2="#BBD5F0" focus="0%" focussize="0f,0f" focusposition="0f,0f">
              <o:fill type="gradientUnscaled" v:ext="backwardCompatible"/>
            </v:fill>
            <v:stroke on="f"/>
            <v:imagedata r:id="rId7" gain="65536f" blacklevel="0f" gamma="0" o:title=""/>
            <o:lock v:ext="edit" position="f" selection="f" grouping="f" rotation="f" cropping="f" text="f" aspectratio="f"/>
            <w10:anchorlock/>
          </v:shape>
          <w:control r:id="rId6" w:name="Host Control 6" w:shapeid="Host Control 6"/>
        </w:pic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2021年3月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</w:t>
      </w:r>
    </w:p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/>
          <w:b/>
          <w:sz w:val="44"/>
          <w:szCs w:val="44"/>
          <w:lang w:val="en-US" w:eastAsia="zh-CN"/>
        </w:rPr>
      </w:pPr>
    </w:p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/>
          <w:b/>
          <w:sz w:val="44"/>
          <w:szCs w:val="44"/>
          <w:lang w:val="en-US" w:eastAsia="zh-CN"/>
        </w:rPr>
      </w:pPr>
    </w:p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/>
          <w:b/>
          <w:sz w:val="44"/>
          <w:szCs w:val="44"/>
          <w:lang w:val="en-US" w:eastAsia="zh-CN"/>
        </w:rPr>
      </w:pPr>
    </w:p>
    <w:p>
      <w:pPr>
        <w:wordWrap/>
        <w:spacing w:line="56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/>
          <w:b/>
          <w:sz w:val="44"/>
          <w:szCs w:val="44"/>
          <w:lang w:val="en-US" w:eastAsia="zh-CN"/>
        </w:rPr>
      </w:pPr>
    </w:p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滁州市本级建设工程标后履约检查</w:t>
      </w:r>
    </w:p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方案</w:t>
      </w:r>
    </w:p>
    <w:bookmarkEnd w:id="0"/>
    <w:p>
      <w:pPr>
        <w:wordWrap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wordWrap/>
        <w:adjustRightInd w:val="0"/>
        <w:snapToGrid w:val="0"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贯彻落实《安徽省建筑工程招标投标管理办法》（省政府第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301号令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滁州市公共资源交易项目标后监督管理办法（试行）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（滁政办秘〔2018〕192号）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等精神，响应“新阶段再出发”总动员，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强化标后履约监管，规范我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市建设工程招标投标活动，推动招标投标市场和履约现场“两场联动”，构建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工程建设项目突出问题专项整治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长效机制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结合我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实际，制定如下检查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总体要求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坚持以习近平新时代中国特色社会主义思想为指导，深入学习贯彻党的十九大和十九届二中、三中、四中、五中全会精神，牢固树立以人民为中心的发展思想，巩固提升招标投标领域突出问题专项整治成果。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通过检查，进一步加强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建设工程标后履约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管理，规范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招标投标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市场和建筑市场秩序，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发现和纠正一批违法违规行为，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促进相关责任主体严格按照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招投标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文件和合同约定诚信履约，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保障工程建设项目顺利推进实施。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、检查范围</w:t>
      </w:r>
    </w:p>
    <w:p>
      <w:pPr>
        <w:wordWrap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市本级进入市交易中心交易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的中标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金额在400万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以上的在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建工程建设项目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，其中重点检查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中标金额在2000万以上在建工程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建设项目。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、检查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方式</w:t>
      </w:r>
    </w:p>
    <w:p>
      <w:pPr>
        <w:widowControl/>
        <w:wordWrap/>
        <w:adjustRightInd w:val="0"/>
        <w:snapToGrid w:val="0"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市公管局会同市效能办、行业主管部门等，必要时可邀请有关方面专家参与，通过“四不两直”方式开展检查。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、检查内容</w:t>
      </w:r>
    </w:p>
    <w:p>
      <w:pPr>
        <w:wordWrap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（一）建设工程合同签订等情况。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是否在中标通知书发出之日起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签订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建设工程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书面合同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并按规定公开合同信息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及履行、变更信息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建设工程合同的标的、价款、质量、履行期限等主要条款是否与招标文件及中标人的投标文件内容一致。</w:t>
      </w:r>
    </w:p>
    <w:p>
      <w:pPr>
        <w:wordWrap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（二）履约保证金或保函等提交退还情况。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中标人是否按期提交履约保证金或保函等；工程竣工验收合格后，招标人是否及时全额返还履约保证金或解除保函等。</w:t>
      </w:r>
    </w:p>
    <w:p>
      <w:pPr>
        <w:pStyle w:val="7"/>
        <w:widowControl/>
        <w:wordWrap/>
        <w:spacing w:before="0" w:beforeAutospacing="0" w:after="0" w:afterAutospacing="0"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>(三)工程建设手续办理情况。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建设工程是否取得施工许可证等工程建设审批手续。</w:t>
      </w:r>
    </w:p>
    <w:p>
      <w:pPr>
        <w:pStyle w:val="7"/>
        <w:widowControl/>
        <w:wordWrap/>
        <w:spacing w:before="0" w:beforeAutospacing="0" w:after="0" w:afterAutospacing="0"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>（四）关键岗位人员到岗履职情况。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在岗的施工、监理项目部关键岗位人员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(主要包括项目经理、技术负责人、项目总监、总监代表等)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与中标人投标文件是否一致；关键岗位人员变更手续是否依法依规；关键岗位人员是否使用标后管理系统移动端APP进行自动定位考勤；项目经理、总监是否按期组织相关会议，推进协调施工过程有关问题；是否填写施工、监理日志。</w:t>
      </w:r>
    </w:p>
    <w:p>
      <w:pPr>
        <w:wordWrap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（五）工程建设进度情况。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需要征收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土地、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房屋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，其进度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符合施工要求。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工程建设项目实施形象进度是否符合工期计划。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（六）其他违法违规等情况。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招标人是否按合同约定向中标人支付工程进度款等。农民工工资支付是否纳入人社部门监管。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中标人是否存在向他人转包中标项目，或将中标项目肢解后分别向他人转包和违法分包。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、工作要求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（一）加强组织领导。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建设单位作为工程建设项目标后履约管理责任主体，要切实加强对标后履约管理的组织领导和统筹协调，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压实压紧工作责任，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把标后履约管理作为推进项目建设、促进经济高质量发展的重要举措，认真抓好落实，积极配合开展标后履约检查。</w:t>
      </w:r>
    </w:p>
    <w:p>
      <w:pPr>
        <w:wordWrap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（二）落实自查自纠。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按照检查方案对所属在建工程建设项目开展自查自纠，深入剖析问题根源，完善项目管理措施，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提升标后履约管理能力和水平。</w:t>
      </w:r>
    </w:p>
    <w:p>
      <w:pPr>
        <w:numPr>
          <w:ilvl w:val="0"/>
          <w:numId w:val="0"/>
        </w:numPr>
        <w:wordWrap/>
        <w:spacing w:line="56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（三）从严整改落实。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市公管局会同市效能办、行业主管部门等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检查发现的问题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，相关责任单位能够立即整改的，要立即整改；不能够立即整改的，要明确整改时限和责任人，抓紧落实整改，并将整改情况及时反馈市公管局等。</w:t>
      </w:r>
    </w:p>
    <w:p>
      <w:pPr>
        <w:wordWrap/>
        <w:spacing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ordWrap/>
        <w:spacing w:line="560" w:lineRule="exact"/>
        <w:ind w:left="0" w:leftChars="0" w:right="0"/>
        <w:textAlignment w:val="auto"/>
        <w:outlineLvl w:val="9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7"/>
        <w:widowControl/>
        <w:spacing w:beforeAutospacing="0" w:afterAutospacing="0" w:line="560" w:lineRule="exact"/>
        <w:ind w:firstLine="5472" w:firstLineChars="18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543550" cy="635"/>
                <wp:effectExtent l="0" t="0" r="0" b="0"/>
                <wp:wrapNone/>
                <wp:docPr id="4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pt;margin-top:0.3pt;height:0.05pt;width:436.5pt;z-index:251660288;mso-width-relative:page;mso-height-relative:page;" filled="f" stroked="t" coordsize="21600,21600" o:allowincell="f" o:gfxdata="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2vNfE0QAAAAIBAAAPAAAAAAAAAAEAIAAAACIAAABkcnMvZG93bnJldi54bWxQSwECFAAU&#10;AAAACACHTuJAiZOeP/gBAADmAwAADgAAAAAAAAABACAAAAAg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抄送：各县（市、区）公管局、公共资源交易中心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543550" cy="635"/>
                <wp:effectExtent l="0" t="0" r="0" b="0"/>
                <wp:wrapNone/>
                <wp:docPr id="5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0pt;margin-top:0.3pt;height:0.05pt;width:436.5pt;z-index:251661312;mso-width-relative:page;mso-height-relative:page;" filled="f" stroked="t" coordsize="21600,21600" o:allowincell="f" o:gfxdata="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rzXxNEAAAACAQAADwAAAAAAAAAB&#10;ACAAAAAiAAAAZHJzL2Rvd25yZXYueG1sUEsBAhQAFAAAAAgAh07iQPS1BKXeAQAA3AMAAA4AAAAA&#10;AAAAAQAgAAAAI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滁州市公共资源交易监督管理局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2021年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日印发</w:t>
      </w:r>
    </w:p>
    <w:sectPr>
      <w:headerReference r:id="rId3" w:type="default"/>
      <w:footerReference r:id="rId4" w:type="default"/>
      <w:pgSz w:w="11906" w:h="16838"/>
      <w:pgMar w:top="2211" w:right="1531" w:bottom="1757" w:left="1531" w:header="851" w:footer="1701" w:gutter="0"/>
      <w:cols w:space="720" w:num="1"/>
      <w:formProt w:val="1"/>
      <w:docGrid w:type="linesAndChars" w:linePitch="579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dit="comments" w:enforcement="1" w:cryptProviderType="rsaFull" w:cryptAlgorithmClass="hash" w:cryptAlgorithmType="typeAny" w:cryptAlgorithmSid="4" w:cryptSpinCount="0" w:hash="1kwK3sGyqaPPvTp/9os5H6tCX1E=" w:salt="c/rAUjp8TgMLr0Ob1AeLn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fOlBEZLarYQ9LFP7xhbTK8u0nwiWDUw1lMHcXi7X4R0VrwLCHyU199df99f8RothrHMBq2q1CQqftXLmxZQPchy/SgACFpa8l0FCplodtTgmAA=="/>
    <w:docVar w:name="DocEmbSoC42BBF5D" w:val=" "/>
    <w:docVar w:name="DocGlobalSDABB" w:val="MTVk9KjuuqY9e9gAkPmJkipipjncOsNq9qNGElrZpgVVMlVMDCrrtuJp9mkkwrjMFGn2aSTCuMwUafZpJMK4zBRp9mkkwrjMFGn2aSTCuMwUafZpJMK4zBRp9mkkwrjMFGn2aSTCuMwUafZpJMK4zBRp9mkkwrjMFGn2aSTCuMwUafZpJMK4zBRp9mkkwrjMFGn2aSTCuMwUAAAAAA=="/>
  </w:docVars>
  <w:rsids>
    <w:rsidRoot w:val="00D41A4D"/>
    <w:rsid w:val="0003695B"/>
    <w:rsid w:val="001B29CA"/>
    <w:rsid w:val="002505CF"/>
    <w:rsid w:val="003276E2"/>
    <w:rsid w:val="00595C77"/>
    <w:rsid w:val="00713627"/>
    <w:rsid w:val="00715D62"/>
    <w:rsid w:val="00AB1879"/>
    <w:rsid w:val="00B1588F"/>
    <w:rsid w:val="00BB3A99"/>
    <w:rsid w:val="00CD3F37"/>
    <w:rsid w:val="00D04C69"/>
    <w:rsid w:val="00D41A4D"/>
    <w:rsid w:val="00D829E0"/>
    <w:rsid w:val="09D3668D"/>
    <w:rsid w:val="0FDE1D17"/>
    <w:rsid w:val="13206D4D"/>
    <w:rsid w:val="13F8792A"/>
    <w:rsid w:val="149B1B63"/>
    <w:rsid w:val="1B4328FC"/>
    <w:rsid w:val="1EDE67B7"/>
    <w:rsid w:val="268E42D5"/>
    <w:rsid w:val="2F906E94"/>
    <w:rsid w:val="30C33455"/>
    <w:rsid w:val="341F7099"/>
    <w:rsid w:val="38A47D9A"/>
    <w:rsid w:val="3B4C7C4A"/>
    <w:rsid w:val="4107586C"/>
    <w:rsid w:val="475B4EA3"/>
    <w:rsid w:val="5E864097"/>
    <w:rsid w:val="60346E7D"/>
    <w:rsid w:val="634F05A4"/>
    <w:rsid w:val="665A532E"/>
    <w:rsid w:val="66A5416B"/>
    <w:rsid w:val="694135A2"/>
    <w:rsid w:val="7373238D"/>
    <w:rsid w:val="78996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20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433</Characters>
  <Lines>3</Lines>
  <Paragraphs>1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2017-01-23T11:27:00Z</dcterms:created>
  <dc:creator>李小宇</dc:creator>
  <cp:lastModifiedBy>会飞的喵</cp:lastModifiedBy>
  <cp:lastPrinted>2021-02-25T02:51:00Z</cp:lastPrinted>
  <dcterms:modified xsi:type="dcterms:W3CDTF">2021-03-30T01:58:41Z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1736C61C5F244D9DA1CAB0746A7B6224</vt:lpwstr>
  </property>
</Properties>
</file>