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宋体" w:eastAsia="方正小标宋简体" w:cs="MS Mincho"/>
          <w:color w:val="auto"/>
          <w:kern w:val="0"/>
          <w:sz w:val="44"/>
          <w:szCs w:val="44"/>
          <w:lang w:eastAsia="zh-CN"/>
        </w:rPr>
      </w:pPr>
      <w:bookmarkStart w:id="0" w:name="_GoBack"/>
      <w:r>
        <w:rPr>
          <w:rFonts w:hint="eastAsia" w:ascii="方正小标宋简体" w:hAnsi="宋体" w:eastAsia="方正小标宋简体" w:cs="MS Mincho"/>
          <w:color w:val="auto"/>
          <w:kern w:val="0"/>
          <w:sz w:val="44"/>
          <w:szCs w:val="44"/>
        </w:rPr>
        <w:t>安徽省公共资源交易平台系统考核指标</w:t>
      </w:r>
      <w:r>
        <w:rPr>
          <w:rFonts w:hint="eastAsia" w:ascii="方正小标宋简体" w:hAnsi="宋体" w:eastAsia="方正小标宋简体" w:cs="MS Mincho"/>
          <w:color w:val="auto"/>
          <w:kern w:val="0"/>
          <w:sz w:val="44"/>
          <w:szCs w:val="44"/>
          <w:lang w:eastAsia="zh-CN"/>
        </w:rPr>
        <w:t>（</w:t>
      </w:r>
      <w:r>
        <w:rPr>
          <w:rFonts w:hint="eastAsia" w:ascii="方正小标宋简体" w:hAnsi="宋体" w:eastAsia="方正小标宋简体" w:cs="MS Mincho"/>
          <w:color w:val="auto"/>
          <w:kern w:val="0"/>
          <w:sz w:val="44"/>
          <w:szCs w:val="44"/>
          <w:lang w:val="en-US" w:eastAsia="zh-CN"/>
        </w:rPr>
        <w:t>现行</w:t>
      </w:r>
      <w:r>
        <w:rPr>
          <w:rFonts w:hint="eastAsia" w:ascii="方正小标宋简体" w:hAnsi="宋体" w:eastAsia="方正小标宋简体" w:cs="MS Mincho"/>
          <w:color w:val="auto"/>
          <w:kern w:val="0"/>
          <w:sz w:val="44"/>
          <w:szCs w:val="44"/>
          <w:lang w:eastAsia="zh-CN"/>
        </w:rPr>
        <w:t>）</w:t>
      </w:r>
    </w:p>
    <w:p>
      <w:pPr>
        <w:widowControl/>
        <w:spacing w:line="560" w:lineRule="exact"/>
        <w:jc w:val="center"/>
        <w:rPr>
          <w:rFonts w:hint="eastAsia" w:ascii="方正小标宋简体" w:hAnsi="宋体" w:eastAsia="方正小标宋简体" w:cs="MS Mincho"/>
          <w:color w:val="auto"/>
          <w:kern w:val="0"/>
          <w:sz w:val="44"/>
          <w:szCs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750"/>
        <w:gridCol w:w="1751"/>
        <w:gridCol w:w="4059"/>
        <w:gridCol w:w="4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7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b/>
                <w:bCs/>
                <w:color w:val="auto"/>
                <w:sz w:val="24"/>
              </w:rPr>
            </w:pPr>
            <w:r>
              <w:rPr>
                <w:rFonts w:hint="eastAsia" w:ascii="黑体" w:eastAsia="黑体"/>
                <w:b/>
                <w:bCs/>
                <w:color w:val="auto"/>
                <w:sz w:val="24"/>
              </w:rPr>
              <w:t>一级指标</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b/>
                <w:bCs/>
                <w:color w:val="auto"/>
                <w:sz w:val="24"/>
              </w:rPr>
            </w:pPr>
            <w:r>
              <w:rPr>
                <w:rFonts w:hint="eastAsia" w:ascii="黑体" w:eastAsia="黑体"/>
                <w:b/>
                <w:bCs/>
                <w:color w:val="auto"/>
                <w:sz w:val="24"/>
              </w:rPr>
              <w:t>二级指标</w:t>
            </w:r>
          </w:p>
        </w:tc>
        <w:tc>
          <w:tcPr>
            <w:tcW w:w="581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b/>
                <w:bCs/>
                <w:color w:val="auto"/>
                <w:sz w:val="24"/>
              </w:rPr>
            </w:pPr>
            <w:r>
              <w:rPr>
                <w:rFonts w:hint="eastAsia" w:ascii="黑体" w:eastAsia="黑体"/>
                <w:b/>
                <w:bCs/>
                <w:color w:val="auto"/>
                <w:sz w:val="24"/>
              </w:rPr>
              <w:t>评分标准及方法</w:t>
            </w:r>
          </w:p>
        </w:tc>
        <w:tc>
          <w:tcPr>
            <w:tcW w:w="4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黑体" w:eastAsia="黑体"/>
                <w:b/>
                <w:bCs/>
                <w:color w:val="auto"/>
                <w:sz w:val="24"/>
              </w:rPr>
            </w:pPr>
            <w:r>
              <w:rPr>
                <w:rFonts w:hint="eastAsia" w:ascii="黑体" w:eastAsia="黑体"/>
                <w:b/>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auto"/>
                <w:sz w:val="24"/>
              </w:rPr>
            </w:pPr>
            <w:r>
              <w:rPr>
                <w:rFonts w:ascii="微软雅黑" w:hAnsi="微软雅黑" w:eastAsia="微软雅黑" w:cs="微软雅黑"/>
                <w:color w:val="auto"/>
                <w:sz w:val="21"/>
                <w:szCs w:val="21"/>
              </w:rPr>
              <w:t>上传数据覆盖面</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(17</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auto"/>
                <w:sz w:val="24"/>
                <w:highlight w:val="none"/>
              </w:rPr>
            </w:pPr>
            <w:r>
              <w:rPr>
                <w:rFonts w:ascii="微软雅黑" w:hAnsi="微软雅黑" w:eastAsia="微软雅黑" w:cs="微软雅黑"/>
                <w:color w:val="auto"/>
                <w:sz w:val="21"/>
                <w:szCs w:val="21"/>
                <w:highlight w:val="none"/>
              </w:rPr>
              <w:t>交易领域覆盖面</w:t>
            </w:r>
            <w:r>
              <w:rPr>
                <w:rFonts w:hint="eastAsia" w:ascii="微软雅黑" w:hAnsi="微软雅黑" w:eastAsia="微软雅黑" w:cs="微软雅黑"/>
                <w:color w:val="auto"/>
                <w:sz w:val="21"/>
                <w:szCs w:val="21"/>
                <w:highlight w:val="none"/>
              </w:rPr>
              <w:br w:type="textWrapping"/>
            </w:r>
            <w:r>
              <w:rPr>
                <w:rFonts w:hint="eastAsia" w:ascii="微软雅黑" w:hAnsi="微软雅黑" w:eastAsia="微软雅黑" w:cs="微软雅黑"/>
                <w:color w:val="auto"/>
                <w:sz w:val="21"/>
                <w:szCs w:val="21"/>
                <w:highlight w:val="none"/>
              </w:rPr>
              <w:t>(12</w:t>
            </w:r>
            <w:r>
              <w:rPr>
                <w:rFonts w:hint="eastAsia" w:ascii="微软雅黑" w:hAnsi="微软雅黑" w:eastAsia="微软雅黑" w:cs="微软雅黑"/>
                <w:color w:val="auto"/>
                <w:sz w:val="21"/>
                <w:szCs w:val="21"/>
                <w:highlight w:val="none"/>
                <w:lang w:val="en-US" w:eastAsia="zh-CN"/>
              </w:rPr>
              <w:t>分</w:t>
            </w:r>
            <w:r>
              <w:rPr>
                <w:rFonts w:hint="eastAsia" w:ascii="微软雅黑" w:hAnsi="微软雅黑" w:eastAsia="微软雅黑" w:cs="微软雅黑"/>
                <w:color w:val="auto"/>
                <w:sz w:val="21"/>
                <w:szCs w:val="21"/>
                <w:highlight w:val="none"/>
              </w:rPr>
              <w:t>)</w:t>
            </w:r>
          </w:p>
        </w:tc>
        <w:tc>
          <w:tcPr>
            <w:tcW w:w="581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color w:val="auto"/>
                <w:sz w:val="24"/>
                <w:highlight w:val="none"/>
              </w:rPr>
            </w:pPr>
            <w:r>
              <w:rPr>
                <w:rFonts w:ascii="微软雅黑" w:hAnsi="微软雅黑" w:eastAsia="微软雅黑" w:cs="微软雅黑"/>
                <w:color w:val="auto"/>
                <w:sz w:val="21"/>
                <w:szCs w:val="21"/>
                <w:highlight w:val="none"/>
              </w:rPr>
              <w:t>1.当月上传数据覆盖工程建设项目招标投标、国有土地使用权和矿业权出让、国有产权交易、政府采购四个板块的得8分，缺一个板块扣2分；</w:t>
            </w:r>
            <w:r>
              <w:rPr>
                <w:rFonts w:ascii="微软雅黑" w:hAnsi="微软雅黑" w:eastAsia="微软雅黑" w:cs="微软雅黑"/>
                <w:color w:val="auto"/>
                <w:sz w:val="21"/>
                <w:szCs w:val="21"/>
                <w:highlight w:val="none"/>
              </w:rPr>
              <w:t xml:space="preserve"> 2.当月上传数据覆盖其他公共资源交易领域，每个领域1分，最高得4分。</w:t>
            </w:r>
          </w:p>
        </w:tc>
        <w:tc>
          <w:tcPr>
            <w:tcW w:w="4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color w:val="auto"/>
                <w:sz w:val="24"/>
                <w:highlight w:val="none"/>
              </w:rPr>
            </w:pPr>
            <w:r>
              <w:rPr>
                <w:rFonts w:ascii="微软雅黑" w:hAnsi="微软雅黑" w:eastAsia="微软雅黑" w:cs="微软雅黑"/>
                <w:color w:val="auto"/>
                <w:sz w:val="21"/>
                <w:szCs w:val="21"/>
                <w:highlight w:val="none"/>
              </w:rPr>
              <w:t>1.四大板块中的某个板块当月如无交易项目，但在系统中已填报说明，不扣分。 2.网上商城项目不再列为其他公共资源交易领域项目。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7" w:hRule="atLeast"/>
          <w:jc w:val="center"/>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仿宋_GB2312"/>
                <w:color w:val="auto"/>
                <w:sz w:val="24"/>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auto"/>
                <w:sz w:val="24"/>
              </w:rPr>
            </w:pPr>
            <w:r>
              <w:rPr>
                <w:rFonts w:ascii="微软雅黑" w:hAnsi="微软雅黑" w:eastAsia="微软雅黑" w:cs="微软雅黑"/>
                <w:color w:val="auto"/>
                <w:sz w:val="21"/>
                <w:szCs w:val="21"/>
              </w:rPr>
              <w:t>行政区域覆盖面</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(5</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581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color w:val="auto"/>
                <w:sz w:val="24"/>
              </w:rPr>
            </w:pPr>
            <w:r>
              <w:rPr>
                <w:rFonts w:ascii="微软雅黑" w:hAnsi="微软雅黑" w:eastAsia="微软雅黑" w:cs="微软雅黑"/>
                <w:color w:val="auto"/>
                <w:sz w:val="21"/>
                <w:szCs w:val="21"/>
              </w:rPr>
              <w:t>得分=5分×行政区域覆盖率。</w:t>
            </w:r>
          </w:p>
        </w:tc>
        <w:tc>
          <w:tcPr>
            <w:tcW w:w="49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color w:val="auto"/>
                <w:sz w:val="24"/>
              </w:rPr>
            </w:pPr>
            <w:r>
              <w:rPr>
                <w:rFonts w:ascii="微软雅黑" w:hAnsi="微软雅黑" w:eastAsia="微软雅黑" w:cs="微软雅黑"/>
                <w:color w:val="auto"/>
                <w:sz w:val="21"/>
                <w:szCs w:val="21"/>
              </w:rPr>
              <w:t>行政区划覆盖率=推送项目的行政区域数/该市所辖县总数。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7" w:hRule="atLeast"/>
          <w:jc w:val="center"/>
        </w:trPr>
        <w:tc>
          <w:tcPr>
            <w:tcW w:w="1702"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auto"/>
                <w:sz w:val="24"/>
              </w:rPr>
            </w:pPr>
            <w:r>
              <w:rPr>
                <w:rFonts w:ascii="微软雅黑" w:hAnsi="微软雅黑" w:eastAsia="微软雅黑" w:cs="微软雅黑"/>
                <w:color w:val="auto"/>
                <w:sz w:val="21"/>
                <w:szCs w:val="21"/>
              </w:rPr>
              <w:t>上传数据质量</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(73</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1750"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auto"/>
                <w:sz w:val="24"/>
                <w:highlight w:val="none"/>
              </w:rPr>
            </w:pPr>
            <w:r>
              <w:rPr>
                <w:rFonts w:ascii="微软雅黑" w:hAnsi="微软雅黑" w:eastAsia="微软雅黑" w:cs="微软雅黑"/>
                <w:color w:val="auto"/>
                <w:sz w:val="21"/>
                <w:szCs w:val="21"/>
                <w:highlight w:val="none"/>
              </w:rPr>
              <w:t>上传数据准确性</w:t>
            </w:r>
            <w:r>
              <w:rPr>
                <w:rFonts w:hint="eastAsia" w:ascii="微软雅黑" w:hAnsi="微软雅黑" w:eastAsia="微软雅黑" w:cs="微软雅黑"/>
                <w:color w:val="auto"/>
                <w:sz w:val="21"/>
                <w:szCs w:val="21"/>
                <w:highlight w:val="none"/>
              </w:rPr>
              <w:br w:type="textWrapping"/>
            </w:r>
            <w:r>
              <w:rPr>
                <w:rFonts w:hint="eastAsia" w:ascii="微软雅黑" w:hAnsi="微软雅黑" w:eastAsia="微软雅黑" w:cs="微软雅黑"/>
                <w:color w:val="auto"/>
                <w:sz w:val="21"/>
                <w:szCs w:val="21"/>
                <w:highlight w:val="none"/>
              </w:rPr>
              <w:t>(36</w:t>
            </w:r>
            <w:r>
              <w:rPr>
                <w:rFonts w:hint="eastAsia" w:ascii="微软雅黑" w:hAnsi="微软雅黑" w:eastAsia="微软雅黑" w:cs="微软雅黑"/>
                <w:color w:val="auto"/>
                <w:sz w:val="21"/>
                <w:szCs w:val="21"/>
                <w:highlight w:val="none"/>
                <w:lang w:val="en-US" w:eastAsia="zh-CN"/>
              </w:rPr>
              <w:t>分</w:t>
            </w:r>
            <w:r>
              <w:rPr>
                <w:rFonts w:hint="eastAsia" w:ascii="微软雅黑" w:hAnsi="微软雅黑" w:eastAsia="微软雅黑" w:cs="微软雅黑"/>
                <w:color w:val="auto"/>
                <w:sz w:val="21"/>
                <w:szCs w:val="21"/>
                <w:highlight w:val="none"/>
              </w:rPr>
              <w:t>)</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highlight w:val="none"/>
              </w:rPr>
            </w:pPr>
            <w:r>
              <w:rPr>
                <w:rFonts w:ascii="微软雅黑" w:hAnsi="微软雅黑" w:eastAsia="微软雅黑" w:cs="微软雅黑"/>
                <w:color w:val="auto"/>
                <w:sz w:val="21"/>
                <w:szCs w:val="21"/>
                <w:highlight w:val="none"/>
              </w:rPr>
              <w:t>“五码”准确情况</w:t>
            </w:r>
            <w:r>
              <w:rPr>
                <w:rFonts w:hint="eastAsia" w:ascii="微软雅黑" w:hAnsi="微软雅黑" w:eastAsia="微软雅黑" w:cs="微软雅黑"/>
                <w:color w:val="auto"/>
                <w:sz w:val="21"/>
                <w:szCs w:val="21"/>
                <w:highlight w:val="none"/>
              </w:rPr>
              <w:t>(18</w:t>
            </w:r>
            <w:r>
              <w:rPr>
                <w:rFonts w:hint="eastAsia" w:ascii="微软雅黑" w:hAnsi="微软雅黑" w:eastAsia="微软雅黑" w:cs="微软雅黑"/>
                <w:color w:val="auto"/>
                <w:sz w:val="21"/>
                <w:szCs w:val="21"/>
                <w:highlight w:val="none"/>
                <w:lang w:val="en-US" w:eastAsia="zh-CN"/>
              </w:rPr>
              <w:t>分</w:t>
            </w:r>
            <w:r>
              <w:rPr>
                <w:rFonts w:hint="eastAsia" w:ascii="微软雅黑" w:hAnsi="微软雅黑" w:eastAsia="微软雅黑" w:cs="微软雅黑"/>
                <w:color w:val="auto"/>
                <w:sz w:val="21"/>
                <w:szCs w:val="21"/>
                <w:highlight w:val="none"/>
              </w:rPr>
              <w:t>)</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highlight w:val="none"/>
              </w:rPr>
            </w:pPr>
            <w:r>
              <w:rPr>
                <w:rFonts w:ascii="微软雅黑" w:hAnsi="微软雅黑" w:eastAsia="微软雅黑" w:cs="微软雅黑"/>
                <w:color w:val="auto"/>
                <w:sz w:val="21"/>
                <w:szCs w:val="21"/>
                <w:highlight w:val="none"/>
              </w:rPr>
              <w:t>“五码”准确情况得分：18分*分子/分母（备注：填写正确的记录数为分子，市级传输包含“五码”的总记录数为分母。五码：统一交易标识码，投资项目统一代码，统一社会信用代码，工程建设项目的电子招标投标交易平台或发布工具标识码，工程建设项目的电子招标投标公共服务平台标识码。）</w:t>
            </w:r>
          </w:p>
        </w:tc>
        <w:tc>
          <w:tcPr>
            <w:tcW w:w="4912" w:type="dxa"/>
            <w:tcBorders>
              <w:top w:val="single" w:color="auto" w:sz="4" w:space="0"/>
              <w:left w:val="single" w:color="auto" w:sz="4" w:space="0"/>
              <w:right w:val="single" w:color="auto" w:sz="4" w:space="0"/>
            </w:tcBorders>
            <w:noWrap w:val="0"/>
            <w:vAlign w:val="center"/>
          </w:tcPr>
          <w:p>
            <w:pPr>
              <w:spacing w:line="320" w:lineRule="exact"/>
              <w:jc w:val="left"/>
              <w:rPr>
                <w:rFonts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1" w:hRule="atLeast"/>
          <w:jc w:val="center"/>
        </w:trPr>
        <w:tc>
          <w:tcPr>
            <w:tcW w:w="1702" w:type="dxa"/>
            <w:vMerge w:val="continue"/>
            <w:tcBorders>
              <w:left w:val="single" w:color="auto" w:sz="4" w:space="0"/>
              <w:right w:val="single" w:color="auto" w:sz="4" w:space="0"/>
            </w:tcBorders>
            <w:noWrap w:val="0"/>
            <w:vAlign w:val="center"/>
          </w:tcPr>
          <w:p>
            <w:pPr>
              <w:spacing w:line="320" w:lineRule="exact"/>
              <w:jc w:val="left"/>
              <w:rPr>
                <w:color w:val="auto"/>
              </w:rPr>
            </w:pPr>
          </w:p>
        </w:tc>
        <w:tc>
          <w:tcPr>
            <w:tcW w:w="1750" w:type="dxa"/>
            <w:vMerge w:val="continue"/>
            <w:tcBorders>
              <w:left w:val="single" w:color="auto" w:sz="4" w:space="0"/>
              <w:right w:val="single" w:color="auto" w:sz="4" w:space="0"/>
            </w:tcBorders>
            <w:noWrap w:val="0"/>
            <w:vAlign w:val="center"/>
          </w:tcPr>
          <w:p>
            <w:pPr>
              <w:spacing w:line="320" w:lineRule="exact"/>
              <w:jc w:val="left"/>
              <w:rPr>
                <w:color w:val="auto"/>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成交金额准确情况</w:t>
            </w:r>
            <w:r>
              <w:rPr>
                <w:rFonts w:hint="eastAsia" w:ascii="微软雅黑" w:hAnsi="微软雅黑" w:eastAsia="微软雅黑" w:cs="微软雅黑"/>
                <w:color w:val="auto"/>
                <w:sz w:val="21"/>
                <w:szCs w:val="21"/>
              </w:rPr>
              <w:t>(18</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成交金额准确情况得分=18分*（1-|a-b|/c）（备注：a为手工报送成交金额，b为被平台采纳的成交金额，c为a和b中相对较大的数值。在国家调整公共资源交易数据统计分析制度之前，系统推送金额应与手工报表保持一致。）</w:t>
            </w:r>
          </w:p>
        </w:tc>
        <w:tc>
          <w:tcPr>
            <w:tcW w:w="4912" w:type="dxa"/>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702" w:type="dxa"/>
            <w:vMerge w:val="continue"/>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0" w:type="dxa"/>
            <w:vMerge w:val="continue"/>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“五码”准确情况失</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(-10</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每月随机抽查10个交易项目的“五码”，错误一个减一分，最多减10分。</w:t>
            </w:r>
          </w:p>
        </w:tc>
        <w:tc>
          <w:tcPr>
            <w:tcW w:w="4912" w:type="dxa"/>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8" w:hRule="atLeast"/>
          <w:jc w:val="center"/>
        </w:trPr>
        <w:tc>
          <w:tcPr>
            <w:tcW w:w="1702" w:type="dxa"/>
            <w:vMerge w:val="continue"/>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0" w:type="dxa"/>
            <w:vMerge w:val="continue"/>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金额准确情况失分</w:t>
            </w:r>
            <w:r>
              <w:rPr>
                <w:rFonts w:hint="eastAsia" w:ascii="微软雅黑" w:hAnsi="微软雅黑" w:eastAsia="微软雅黑" w:cs="微软雅黑"/>
                <w:color w:val="auto"/>
                <w:sz w:val="21"/>
                <w:szCs w:val="21"/>
              </w:rPr>
              <w:t>(0</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每月对交易项目进行随机抽查，如发现各市平台网站中公布的预算金额、成交结果公告（公示）金额与系统推送的金额不一致（存在不合理的误差），错误一个</w:t>
            </w:r>
            <w:r>
              <w:rPr>
                <w:rFonts w:hint="eastAsia" w:ascii="微软雅黑" w:hAnsi="微软雅黑" w:eastAsia="微软雅黑" w:cs="微软雅黑"/>
                <w:color w:val="auto"/>
                <w:sz w:val="21"/>
                <w:szCs w:val="21"/>
                <w:lang w:val="en-US" w:eastAsia="zh-CN"/>
              </w:rPr>
              <w:t>减</w:t>
            </w:r>
            <w:r>
              <w:rPr>
                <w:rFonts w:ascii="微软雅黑" w:hAnsi="微软雅黑" w:eastAsia="微软雅黑" w:cs="微软雅黑"/>
                <w:color w:val="auto"/>
                <w:sz w:val="21"/>
                <w:szCs w:val="21"/>
              </w:rPr>
              <w:t>2分，不设上限。</w:t>
            </w:r>
          </w:p>
        </w:tc>
        <w:tc>
          <w:tcPr>
            <w:tcW w:w="4912" w:type="dxa"/>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6" w:hRule="atLeast"/>
          <w:jc w:val="center"/>
        </w:trPr>
        <w:tc>
          <w:tcPr>
            <w:tcW w:w="1702" w:type="dxa"/>
            <w:vMerge w:val="continue"/>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0"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其他数据准确情况失分</w:t>
            </w:r>
            <w:r>
              <w:rPr>
                <w:rFonts w:hint="eastAsia" w:ascii="微软雅黑" w:hAnsi="微软雅黑" w:eastAsia="微软雅黑" w:cs="微软雅黑"/>
                <w:color w:val="auto"/>
                <w:sz w:val="21"/>
                <w:szCs w:val="21"/>
              </w:rPr>
              <w:t>(-5</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出现重复数据或测试数据的，一个减1分，最多减5分。</w:t>
            </w:r>
          </w:p>
        </w:tc>
        <w:tc>
          <w:tcPr>
            <w:tcW w:w="4912" w:type="dxa"/>
            <w:tcBorders>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jc w:val="center"/>
        </w:trPr>
        <w:tc>
          <w:tcPr>
            <w:tcW w:w="1702" w:type="dxa"/>
            <w:vMerge w:val="continue"/>
            <w:tcBorders>
              <w:left w:val="single" w:color="auto" w:sz="4" w:space="0"/>
              <w:right w:val="single" w:color="auto" w:sz="4" w:space="0"/>
            </w:tcBorders>
            <w:noWrap w:val="0"/>
            <w:vAlign w:val="center"/>
          </w:tcPr>
          <w:p>
            <w:pPr>
              <w:widowControl/>
              <w:spacing w:line="320" w:lineRule="exact"/>
              <w:jc w:val="center"/>
              <w:rPr>
                <w:rFonts w:eastAsia="仿宋_GB2312"/>
                <w:color w:val="auto"/>
                <w:sz w:val="24"/>
              </w:rPr>
            </w:pPr>
          </w:p>
        </w:tc>
        <w:tc>
          <w:tcPr>
            <w:tcW w:w="1750"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auto"/>
                <w:sz w:val="24"/>
              </w:rPr>
            </w:pPr>
            <w:r>
              <w:rPr>
                <w:rFonts w:ascii="微软雅黑" w:hAnsi="微软雅黑" w:eastAsia="微软雅黑" w:cs="微软雅黑"/>
                <w:color w:val="auto"/>
                <w:sz w:val="21"/>
                <w:szCs w:val="21"/>
              </w:rPr>
              <w:t>上传数据及时性</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(15</w:t>
            </w:r>
            <w:r>
              <w:rPr>
                <w:rFonts w:hint="eastAsia" w:ascii="微软雅黑" w:hAnsi="微软雅黑" w:eastAsia="微软雅黑" w:cs="微软雅黑"/>
                <w:color w:val="auto"/>
                <w:sz w:val="21"/>
                <w:szCs w:val="21"/>
                <w:lang w:val="en-US" w:eastAsia="zh-CN"/>
              </w:rPr>
              <w:t>分）</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上传数据平均间隔</w:t>
            </w:r>
            <w:r>
              <w:rPr>
                <w:rFonts w:hint="eastAsia" w:ascii="微软雅黑" w:hAnsi="微软雅黑" w:eastAsia="微软雅黑" w:cs="微软雅黑"/>
                <w:color w:val="auto"/>
                <w:sz w:val="21"/>
                <w:szCs w:val="21"/>
              </w:rPr>
              <w:t>(5</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工作日8：00至18：00时间段内数据推送的平均间隔时间≤10分钟得5分，否则得分=10 /平均间隔时间（分钟）×5分。</w:t>
            </w:r>
          </w:p>
        </w:tc>
        <w:tc>
          <w:tcPr>
            <w:tcW w:w="4912" w:type="dxa"/>
            <w:tcBorders>
              <w:top w:val="single" w:color="auto" w:sz="4" w:space="0"/>
              <w:left w:val="single" w:color="auto" w:sz="4" w:space="0"/>
              <w:right w:val="single" w:color="auto" w:sz="4" w:space="0"/>
            </w:tcBorders>
            <w:noWrap w:val="0"/>
            <w:vAlign w:val="center"/>
          </w:tcPr>
          <w:p>
            <w:pPr>
              <w:spacing w:line="32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0" w:hRule="atLeast"/>
          <w:jc w:val="center"/>
        </w:trPr>
        <w:tc>
          <w:tcPr>
            <w:tcW w:w="1702" w:type="dxa"/>
            <w:vMerge w:val="continue"/>
            <w:tcBorders>
              <w:left w:val="single" w:color="auto" w:sz="4" w:space="0"/>
              <w:right w:val="single" w:color="auto" w:sz="4" w:space="0"/>
            </w:tcBorders>
            <w:noWrap w:val="0"/>
            <w:vAlign w:val="center"/>
          </w:tcPr>
          <w:p>
            <w:pPr>
              <w:spacing w:line="320" w:lineRule="exact"/>
              <w:jc w:val="left"/>
              <w:rPr>
                <w:color w:val="auto"/>
              </w:rPr>
            </w:pPr>
          </w:p>
        </w:tc>
        <w:tc>
          <w:tcPr>
            <w:tcW w:w="1750" w:type="dxa"/>
            <w:vMerge w:val="continue"/>
            <w:tcBorders>
              <w:left w:val="single" w:color="auto" w:sz="4" w:space="0"/>
              <w:bottom w:val="single" w:color="auto" w:sz="4" w:space="0"/>
              <w:right w:val="single" w:color="auto" w:sz="4" w:space="0"/>
            </w:tcBorders>
            <w:noWrap w:val="0"/>
            <w:vAlign w:val="center"/>
          </w:tcPr>
          <w:p>
            <w:pPr>
              <w:spacing w:line="320" w:lineRule="exact"/>
              <w:jc w:val="left"/>
              <w:rPr>
                <w:color w:val="auto"/>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及时上传数据占比情况</w:t>
            </w:r>
            <w:r>
              <w:rPr>
                <w:rFonts w:hint="eastAsia" w:ascii="微软雅黑" w:hAnsi="微软雅黑" w:eastAsia="微软雅黑" w:cs="微软雅黑"/>
                <w:color w:val="auto"/>
                <w:sz w:val="21"/>
                <w:szCs w:val="21"/>
              </w:rPr>
              <w:t>(10</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及时性校验依据中所规定的数据业务表中的总条数为分母，数据及时性校验依据中所规定的数据业务表中的及时（业务发生时间与数据推送时间为同一天）记录数为分子，得分=分子/分母×10分</w:t>
            </w:r>
          </w:p>
        </w:tc>
        <w:tc>
          <w:tcPr>
            <w:tcW w:w="4912" w:type="dxa"/>
            <w:tcBorders>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70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color w:val="auto"/>
                <w:sz w:val="24"/>
              </w:rPr>
            </w:pPr>
          </w:p>
        </w:tc>
        <w:tc>
          <w:tcPr>
            <w:tcW w:w="1750"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微软雅黑" w:hAnsi="微软雅黑" w:eastAsia="微软雅黑" w:cs="微软雅黑"/>
                <w:color w:val="auto"/>
                <w:sz w:val="21"/>
                <w:szCs w:val="21"/>
              </w:rPr>
            </w:pPr>
            <w:r>
              <w:rPr>
                <w:rFonts w:ascii="微软雅黑" w:hAnsi="微软雅黑" w:eastAsia="微软雅黑" w:cs="微软雅黑"/>
                <w:color w:val="auto"/>
                <w:sz w:val="21"/>
                <w:szCs w:val="21"/>
              </w:rPr>
              <w:t>上传数据完整性</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(22</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应传必传得分</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(10)</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“应传必传”得分=10分×被省平台采纳的公共资源交易项目数量占报送省公管办的交易项目统计数量百分比。项目在以下表中有数据的均认为是被省平台采纳： a.工程建设项目招标投标的中标通知书信息； b.政府采购的中标（成交）通知书信息； c.土地交易的成交宗地信息； d.实物产权的交易结果信息； e.产权股权的交易结果信息； f.矿业权的成交出让结果信息； g.其他类项目按照省数据规范执行。</w:t>
            </w:r>
          </w:p>
        </w:tc>
        <w:tc>
          <w:tcPr>
            <w:tcW w:w="4912" w:type="dxa"/>
            <w:tcBorders>
              <w:top w:val="single" w:color="auto" w:sz="4" w:space="0"/>
              <w:left w:val="single" w:color="auto" w:sz="4" w:space="0"/>
              <w:right w:val="single" w:color="auto" w:sz="4" w:space="0"/>
            </w:tcBorders>
            <w:noWrap w:val="0"/>
            <w:vAlign w:val="center"/>
          </w:tcPr>
          <w:p>
            <w:pPr>
              <w:spacing w:line="32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2" w:hRule="atLeast"/>
          <w:jc w:val="center"/>
        </w:trPr>
        <w:tc>
          <w:tcPr>
            <w:tcW w:w="1702" w:type="dxa"/>
            <w:vMerge w:val="continue"/>
            <w:tcBorders>
              <w:left w:val="single" w:color="auto" w:sz="4" w:space="0"/>
              <w:bottom w:val="single" w:color="auto" w:sz="4" w:space="0"/>
              <w:right w:val="single" w:color="auto" w:sz="4" w:space="0"/>
            </w:tcBorders>
            <w:noWrap w:val="0"/>
            <w:vAlign w:val="center"/>
          </w:tcPr>
          <w:p>
            <w:pPr>
              <w:spacing w:line="320" w:lineRule="exact"/>
              <w:jc w:val="left"/>
              <w:rPr>
                <w:color w:val="auto"/>
              </w:rPr>
            </w:pPr>
          </w:p>
        </w:tc>
        <w:tc>
          <w:tcPr>
            <w:tcW w:w="1750" w:type="dxa"/>
            <w:vMerge w:val="continue"/>
            <w:tcBorders>
              <w:left w:val="single" w:color="auto" w:sz="4" w:space="0"/>
              <w:right w:val="single" w:color="auto" w:sz="4" w:space="0"/>
            </w:tcBorders>
            <w:noWrap w:val="0"/>
            <w:vAlign w:val="center"/>
          </w:tcPr>
          <w:p>
            <w:pPr>
              <w:spacing w:line="320" w:lineRule="exact"/>
              <w:jc w:val="left"/>
              <w:rPr>
                <w:color w:val="auto"/>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应传必传失分</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(-10)</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“应传必传”失分=指交易信息应推未推送至省平台。采取抽查方式，抽查项目数量按交易项目数同比例抽取。抽查未传项目数为分子，抽查总项目数为分母，失分=分子/分母×（-10分）</w:t>
            </w:r>
          </w:p>
        </w:tc>
        <w:tc>
          <w:tcPr>
            <w:tcW w:w="4912" w:type="dxa"/>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4" w:hRule="atLeast"/>
          <w:jc w:val="center"/>
        </w:trPr>
        <w:tc>
          <w:tcPr>
            <w:tcW w:w="170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0" w:type="dxa"/>
            <w:vMerge w:val="continue"/>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主体数据集完整性</w:t>
            </w:r>
            <w:r>
              <w:rPr>
                <w:rFonts w:hint="eastAsia" w:ascii="微软雅黑" w:hAnsi="微软雅黑" w:eastAsia="微软雅黑" w:cs="微软雅黑"/>
                <w:color w:val="auto"/>
                <w:sz w:val="21"/>
                <w:szCs w:val="21"/>
              </w:rPr>
              <w:t>(2</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主体信息2分，主要考核数据表覆盖率，基本信息、角色类型、资质信息都填写得满分2分，缺一个扣1分，当月没推数据得0分。</w:t>
            </w:r>
          </w:p>
        </w:tc>
        <w:tc>
          <w:tcPr>
            <w:tcW w:w="4912" w:type="dxa"/>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6" w:hRule="atLeast"/>
          <w:jc w:val="center"/>
        </w:trPr>
        <w:tc>
          <w:tcPr>
            <w:tcW w:w="170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0" w:type="dxa"/>
            <w:vMerge w:val="continue"/>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信用数据集完整性</w:t>
            </w:r>
            <w:r>
              <w:rPr>
                <w:rFonts w:hint="eastAsia" w:ascii="微软雅黑" w:hAnsi="微软雅黑" w:eastAsia="微软雅黑" w:cs="微软雅黑"/>
                <w:color w:val="auto"/>
                <w:sz w:val="21"/>
                <w:szCs w:val="21"/>
              </w:rPr>
              <w:t>(2</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信用信息2分，主要考核推送数据在实际发布数据中的占比，各市级网站发布的信用信息总数为分母，省平台接收到的实际信用信息（含县）数量为分子，得分=2分×分子/分母，网站数据和推送数据都为0的，得1分，各市填报信用信息发布网址。</w:t>
            </w:r>
          </w:p>
        </w:tc>
        <w:tc>
          <w:tcPr>
            <w:tcW w:w="4912" w:type="dxa"/>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70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0" w:type="dxa"/>
            <w:vMerge w:val="continue"/>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监管数据集完整性</w:t>
            </w:r>
            <w:r>
              <w:rPr>
                <w:rFonts w:hint="eastAsia" w:ascii="微软雅黑" w:hAnsi="微软雅黑" w:eastAsia="微软雅黑" w:cs="微软雅黑"/>
                <w:color w:val="auto"/>
                <w:sz w:val="21"/>
                <w:szCs w:val="21"/>
              </w:rPr>
              <w:t>(2</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监管信息3分，主要考核是否推送行政监管事项信息（主要包括行政监管事项信息、报警和投诉等），“未发现异常情况”等类似信息不作为有效信息，未推送数据得0分，推送了1-4条数据得1分，推送了5条以上满分。</w:t>
            </w:r>
          </w:p>
        </w:tc>
        <w:tc>
          <w:tcPr>
            <w:tcW w:w="4912" w:type="dxa"/>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0" w:hRule="atLeast"/>
          <w:jc w:val="center"/>
        </w:trPr>
        <w:tc>
          <w:tcPr>
            <w:tcW w:w="170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0" w:type="dxa"/>
            <w:vMerge w:val="continue"/>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交易信息完整度</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(3</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交易信息3分，主要考核数据表的覆盖率，数据规范中所有项目当前环节应包含的所有数据表总数为分母，所有项目共推送的数据表个数为分子，得分=分子/分母×3分。不包含异常招标环节、资格预审环节的数据表，暂不包含合同工程量价格清单、合同货物价格清单、合同商品信息表、采购任务书明细、答疑文件</w:t>
            </w:r>
          </w:p>
        </w:tc>
        <w:tc>
          <w:tcPr>
            <w:tcW w:w="4912" w:type="dxa"/>
            <w:tcBorders>
              <w:left w:val="single" w:color="auto" w:sz="4" w:space="0"/>
              <w:right w:val="single" w:color="auto" w:sz="4" w:space="0"/>
            </w:tcBorders>
            <w:noWrap w:val="0"/>
            <w:vAlign w:val="center"/>
          </w:tcPr>
          <w:p>
            <w:pPr>
              <w:spacing w:line="32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1" w:hRule="atLeast"/>
          <w:jc w:val="center"/>
        </w:trPr>
        <w:tc>
          <w:tcPr>
            <w:tcW w:w="1702"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0" w:type="dxa"/>
            <w:vMerge w:val="continue"/>
            <w:tcBorders>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p>
        </w:tc>
        <w:tc>
          <w:tcPr>
            <w:tcW w:w="17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交易环节完整度</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color w:val="auto"/>
                <w:sz w:val="21"/>
                <w:szCs w:val="21"/>
              </w:rPr>
              <w:t>(3)</w:t>
            </w:r>
          </w:p>
        </w:tc>
        <w:tc>
          <w:tcPr>
            <w:tcW w:w="40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r>
              <w:rPr>
                <w:rFonts w:ascii="微软雅黑" w:hAnsi="微软雅黑" w:eastAsia="微软雅黑" w:cs="微软雅黑"/>
                <w:color w:val="auto"/>
                <w:sz w:val="21"/>
                <w:szCs w:val="21"/>
              </w:rPr>
              <w:t>交易环节3分，主要考核环节完整度，根据每个项目当前推送的最新阶段计算，所有应有环节总数为分母，实际推送的环节总数为分子，得分=分子/分母×3分。异常招标环节、资格预审环节暂不列入考核范围。专家抽取环节，仅考核工程建设项目招标投标和政府采购依法需要专家评标评审的项目。对每个行业的每种交易方式采用不同的流程要求。</w:t>
            </w:r>
          </w:p>
        </w:tc>
        <w:tc>
          <w:tcPr>
            <w:tcW w:w="4912" w:type="dxa"/>
            <w:tcBorders>
              <w:left w:val="single" w:color="auto" w:sz="4" w:space="0"/>
              <w:bottom w:val="single" w:color="auto" w:sz="4" w:space="0"/>
              <w:right w:val="single" w:color="auto" w:sz="4" w:space="0"/>
            </w:tcBorders>
            <w:noWrap w:val="0"/>
            <w:vAlign w:val="center"/>
          </w:tcPr>
          <w:p>
            <w:pPr>
              <w:spacing w:line="320" w:lineRule="exact"/>
              <w:jc w:val="lef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4" w:hRule="atLeast"/>
          <w:jc w:val="center"/>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仿宋_GB2312"/>
                <w:color w:val="auto"/>
                <w:sz w:val="24"/>
              </w:rPr>
            </w:pPr>
            <w:r>
              <w:rPr>
                <w:rFonts w:ascii="微软雅黑" w:hAnsi="微软雅黑" w:eastAsia="微软雅黑" w:cs="微软雅黑"/>
                <w:color w:val="auto"/>
                <w:sz w:val="21"/>
                <w:szCs w:val="21"/>
              </w:rPr>
              <w:t>前置系统运行维护</w:t>
            </w:r>
            <w:r>
              <w:rPr>
                <w:rFonts w:hint="eastAsia" w:ascii="微软雅黑" w:hAnsi="微软雅黑" w:eastAsia="微软雅黑" w:cs="微软雅黑"/>
                <w:color w:val="auto"/>
                <w:sz w:val="21"/>
                <w:szCs w:val="21"/>
              </w:rPr>
              <w:t>(10</w:t>
            </w:r>
            <w:r>
              <w:rPr>
                <w:rFonts w:hint="eastAsia" w:ascii="微软雅黑" w:hAnsi="微软雅黑" w:eastAsia="微软雅黑" w:cs="微软雅黑"/>
                <w:color w:val="auto"/>
                <w:sz w:val="21"/>
                <w:szCs w:val="21"/>
                <w:lang w:val="en-US" w:eastAsia="zh-CN"/>
              </w:rPr>
              <w:t>分</w:t>
            </w:r>
            <w:r>
              <w:rPr>
                <w:rFonts w:hint="eastAsia" w:ascii="微软雅黑" w:hAnsi="微软雅黑" w:eastAsia="微软雅黑" w:cs="微软雅黑"/>
                <w:color w:val="auto"/>
                <w:sz w:val="21"/>
                <w:szCs w:val="21"/>
              </w:rPr>
              <w:t>)</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微软雅黑" w:hAnsi="微软雅黑" w:eastAsia="微软雅黑" w:cs="微软雅黑"/>
                <w:color w:val="auto"/>
                <w:sz w:val="21"/>
                <w:szCs w:val="21"/>
              </w:rPr>
            </w:pPr>
            <w:r>
              <w:rPr>
                <w:rFonts w:ascii="微软雅黑" w:hAnsi="微软雅黑" w:eastAsia="微软雅黑" w:cs="微软雅黑"/>
                <w:color w:val="auto"/>
                <w:sz w:val="21"/>
                <w:szCs w:val="21"/>
              </w:rPr>
              <w:t>安全运行情况</w:t>
            </w:r>
          </w:p>
          <w:p>
            <w:pPr>
              <w:spacing w:line="400" w:lineRule="exact"/>
              <w:jc w:val="center"/>
              <w:rPr>
                <w:rFonts w:eastAsia="仿宋_GB2312"/>
                <w:color w:val="auto"/>
                <w:sz w:val="24"/>
              </w:rPr>
            </w:pPr>
            <w:r>
              <w:rPr>
                <w:rFonts w:eastAsia="仿宋_GB2312"/>
                <w:color w:val="auto"/>
                <w:sz w:val="24"/>
              </w:rPr>
              <w:t>（5分）</w:t>
            </w:r>
          </w:p>
        </w:tc>
        <w:tc>
          <w:tcPr>
            <w:tcW w:w="581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05"/>
              </w:tabs>
              <w:spacing w:line="400" w:lineRule="exact"/>
              <w:jc w:val="left"/>
              <w:rPr>
                <w:rFonts w:eastAsia="仿宋_GB2312"/>
                <w:color w:val="auto"/>
                <w:sz w:val="24"/>
              </w:rPr>
            </w:pPr>
            <w:r>
              <w:rPr>
                <w:rFonts w:ascii="微软雅黑" w:hAnsi="微软雅黑" w:eastAsia="微软雅黑" w:cs="微软雅黑"/>
                <w:color w:val="auto"/>
                <w:sz w:val="21"/>
                <w:szCs w:val="21"/>
              </w:rPr>
              <w:t>1.平均每月中断时间累计低于4小时，得5分；中断时间累计超过4小时，但低于8小时，得2.5分；中断时间累计超过8小时的，不得分； 2.市级平台未按安全管理要求造成前置系统严重安全事故的，不得分。</w:t>
            </w:r>
          </w:p>
        </w:tc>
        <w:tc>
          <w:tcPr>
            <w:tcW w:w="491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color w:val="auto"/>
                <w:sz w:val="24"/>
              </w:rPr>
            </w:pPr>
            <w:r>
              <w:rPr>
                <w:rFonts w:ascii="微软雅黑" w:hAnsi="微软雅黑" w:eastAsia="微软雅黑" w:cs="微软雅黑"/>
                <w:color w:val="auto"/>
                <w:sz w:val="21"/>
                <w:szCs w:val="21"/>
              </w:rPr>
              <w:t>不可抗力因素，或者已经提前报备的整改事件、系统更新以及非市级平台原因导致的系统中断或系统故障除外。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4" w:hRule="atLeast"/>
          <w:jc w:val="center"/>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仿宋_GB2312"/>
                <w:color w:val="auto"/>
                <w:sz w:val="24"/>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微软雅黑" w:hAnsi="微软雅黑" w:eastAsia="微软雅黑" w:cs="微软雅黑"/>
                <w:color w:val="auto"/>
                <w:sz w:val="21"/>
                <w:szCs w:val="21"/>
              </w:rPr>
            </w:pPr>
            <w:r>
              <w:rPr>
                <w:rFonts w:ascii="微软雅黑" w:hAnsi="微软雅黑" w:eastAsia="微软雅黑" w:cs="微软雅黑"/>
                <w:color w:val="auto"/>
                <w:sz w:val="21"/>
                <w:szCs w:val="21"/>
              </w:rPr>
              <w:t>故障应急</w:t>
            </w:r>
          </w:p>
          <w:p>
            <w:pPr>
              <w:spacing w:line="400" w:lineRule="exact"/>
              <w:jc w:val="center"/>
              <w:rPr>
                <w:rFonts w:ascii="微软雅黑" w:hAnsi="微软雅黑" w:eastAsia="微软雅黑" w:cs="微软雅黑"/>
                <w:color w:val="auto"/>
                <w:sz w:val="21"/>
                <w:szCs w:val="21"/>
              </w:rPr>
            </w:pPr>
            <w:r>
              <w:rPr>
                <w:rFonts w:ascii="微软雅黑" w:hAnsi="微软雅黑" w:eastAsia="微软雅黑" w:cs="微软雅黑"/>
                <w:color w:val="auto"/>
                <w:sz w:val="21"/>
                <w:szCs w:val="21"/>
              </w:rPr>
              <w:t>处理情况</w:t>
            </w:r>
          </w:p>
          <w:p>
            <w:pPr>
              <w:spacing w:line="400" w:lineRule="exact"/>
              <w:jc w:val="center"/>
              <w:rPr>
                <w:rFonts w:eastAsia="仿宋_GB2312"/>
                <w:color w:val="auto"/>
                <w:sz w:val="24"/>
              </w:rPr>
            </w:pPr>
            <w:r>
              <w:rPr>
                <w:rFonts w:eastAsia="仿宋_GB2312"/>
                <w:color w:val="auto"/>
                <w:sz w:val="24"/>
              </w:rPr>
              <w:t>（5分）</w:t>
            </w:r>
          </w:p>
        </w:tc>
        <w:tc>
          <w:tcPr>
            <w:tcW w:w="581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仿宋_GB2312"/>
                <w:color w:val="auto"/>
                <w:sz w:val="24"/>
              </w:rPr>
            </w:pPr>
            <w:r>
              <w:rPr>
                <w:rFonts w:ascii="微软雅黑" w:hAnsi="微软雅黑" w:eastAsia="微软雅黑" w:cs="微软雅黑"/>
                <w:color w:val="auto"/>
                <w:sz w:val="21"/>
                <w:szCs w:val="21"/>
              </w:rPr>
              <w:t>未发生故障，或发生故障后在1个工作日内解决的，得5分；故障发生后超过1个工作日未解决的，每延后1个工作日扣1分，扣完5分为止。</w:t>
            </w:r>
          </w:p>
        </w:tc>
        <w:tc>
          <w:tcPr>
            <w:tcW w:w="49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eastAsia="仿宋_GB2312"/>
                <w:color w:val="auto"/>
                <w:sz w:val="24"/>
              </w:rPr>
            </w:pPr>
          </w:p>
        </w:tc>
      </w:tr>
    </w:tbl>
    <w:p>
      <w:pPr>
        <w:rPr>
          <w:color w:val="auto"/>
        </w:rPr>
      </w:pPr>
    </w:p>
    <w:p>
      <w:pPr>
        <w:rPr>
          <w:color w:val="auto"/>
        </w:rPr>
      </w:pPr>
    </w:p>
    <w:p>
      <w:pPr>
        <w:rPr>
          <w:rFonts w:hint="eastAsia"/>
          <w:color w:val="auto"/>
          <w:sz w:val="24"/>
          <w:szCs w:val="24"/>
          <w:lang w:val="en-US" w:eastAsia="zh-CN"/>
        </w:rPr>
      </w:pPr>
    </w:p>
    <w:p>
      <w:pPr>
        <w:rPr>
          <w:rFonts w:hint="default"/>
          <w:color w:val="auto"/>
          <w:sz w:val="24"/>
          <w:szCs w:val="24"/>
          <w:lang w:val="en-US" w:eastAsia="zh-CN"/>
        </w:rPr>
      </w:pPr>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07BED"/>
    <w:rsid w:val="2C5F73FE"/>
    <w:rsid w:val="34233BDA"/>
    <w:rsid w:val="4F307BED"/>
    <w:rsid w:val="5E846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2020-07-28T00:33:00Z</dcterms:created>
  <dc:creator>T丶ony</dc:creator>
  <cp:lastModifiedBy>T丶ony</cp:lastModifiedBy>
  <dcterms:modified xsi:type="dcterms:W3CDTF">2020-07-28T23:54:57Z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